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D0A0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D0A0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D0A0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67ED48" w14:textId="67A0FE6C" w:rsidR="00C114FF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Miziverm</w:t>
      </w:r>
      <w:proofErr w:type="spellEnd"/>
      <w:r>
        <w:t xml:space="preserve"> 2,5 mg/25 mg tablety pro malé psy a štěňata</w:t>
      </w:r>
    </w:p>
    <w:p w14:paraId="5906BB1F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45778A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07DCD2" w14:textId="77777777" w:rsidR="00C114FF" w:rsidRPr="00B41D57" w:rsidRDefault="00CD0A05" w:rsidP="00633CD6">
      <w:pPr>
        <w:pStyle w:val="Style1"/>
        <w:jc w:val="both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77A2F7B" w14:textId="2A9BE4D4" w:rsidR="00E457DB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Každá tableta obsahuje:</w:t>
      </w:r>
    </w:p>
    <w:p w14:paraId="3E21804E" w14:textId="77777777" w:rsidR="00E457DB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8A2BBB" w14:textId="5EB60617" w:rsidR="00C114FF" w:rsidRDefault="00CD0A05" w:rsidP="00633CD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1CA8C21D" w14:textId="694E5C68" w:rsid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</w:p>
    <w:p w14:paraId="5EB4D743" w14:textId="12472908" w:rsid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Milbemycinoxim</w:t>
      </w:r>
      <w:r w:rsidR="000C1DA8">
        <w:rPr>
          <w:bCs/>
          <w:szCs w:val="22"/>
        </w:rPr>
        <w:t>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  <w:t>2,5 mg</w:t>
      </w:r>
    </w:p>
    <w:p w14:paraId="7F8B329E" w14:textId="7BA0C70D" w:rsidR="00E457DB" w:rsidRPr="00E457DB" w:rsidRDefault="00E457DB" w:rsidP="00633CD6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proofErr w:type="spellStart"/>
      <w:r>
        <w:rPr>
          <w:bCs/>
          <w:szCs w:val="22"/>
        </w:rPr>
        <w:t>Praziquantel</w:t>
      </w:r>
      <w:r w:rsidR="000C1DA8">
        <w:rPr>
          <w:bCs/>
          <w:szCs w:val="22"/>
        </w:rPr>
        <w:t>um</w:t>
      </w:r>
      <w:proofErr w:type="spellEnd"/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25 mg</w:t>
      </w:r>
    </w:p>
    <w:p w14:paraId="4114CC7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C45036" w14:textId="52DAE31B" w:rsidR="00C114FF" w:rsidRDefault="00CD0A05" w:rsidP="00633CD6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75304FB1" w14:textId="77777777" w:rsidR="00E457DB" w:rsidRPr="00B41D57" w:rsidRDefault="00E457DB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AF643B" w14:paraId="0B4C76E3" w14:textId="77777777" w:rsidTr="00AF643B">
        <w:tc>
          <w:tcPr>
            <w:tcW w:w="4525" w:type="dxa"/>
            <w:vAlign w:val="center"/>
          </w:tcPr>
          <w:p w14:paraId="6D45EB6D" w14:textId="6CE3E52F" w:rsidR="00AF643B" w:rsidRPr="00B41D57" w:rsidRDefault="00AF643B" w:rsidP="00633CD6">
            <w:pPr>
              <w:spacing w:before="60" w:after="60"/>
              <w:jc w:val="both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AF643B" w14:paraId="7D5263D3" w14:textId="77777777" w:rsidTr="00AF643B">
        <w:tc>
          <w:tcPr>
            <w:tcW w:w="4525" w:type="dxa"/>
            <w:vAlign w:val="center"/>
          </w:tcPr>
          <w:p w14:paraId="0F798F46" w14:textId="410B505A" w:rsidR="00AF643B" w:rsidRPr="00B41D57" w:rsidRDefault="00AF643B" w:rsidP="00633CD6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Mikrokrystalická celulóza</w:t>
            </w:r>
          </w:p>
        </w:tc>
      </w:tr>
      <w:tr w:rsidR="00AF643B" w14:paraId="6A4C5E50" w14:textId="77777777" w:rsidTr="00AF643B">
        <w:tc>
          <w:tcPr>
            <w:tcW w:w="4525" w:type="dxa"/>
            <w:vAlign w:val="center"/>
          </w:tcPr>
          <w:p w14:paraId="5CCC8F42" w14:textId="38DD48D0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Sodná sůl </w:t>
            </w:r>
            <w:proofErr w:type="spellStart"/>
            <w:r>
              <w:rPr>
                <w:iCs/>
                <w:szCs w:val="22"/>
              </w:rPr>
              <w:t>kroskarmelózy</w:t>
            </w:r>
            <w:proofErr w:type="spellEnd"/>
          </w:p>
        </w:tc>
      </w:tr>
      <w:tr w:rsidR="00AF643B" w14:paraId="1E235C5B" w14:textId="77777777" w:rsidTr="00AF643B">
        <w:tc>
          <w:tcPr>
            <w:tcW w:w="4525" w:type="dxa"/>
            <w:vAlign w:val="center"/>
          </w:tcPr>
          <w:p w14:paraId="0ECB18EE" w14:textId="2749805F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Bramborový škrob</w:t>
            </w:r>
          </w:p>
        </w:tc>
      </w:tr>
      <w:tr w:rsidR="00AF643B" w14:paraId="726979DE" w14:textId="77777777" w:rsidTr="00AF643B">
        <w:tc>
          <w:tcPr>
            <w:tcW w:w="4525" w:type="dxa"/>
            <w:vAlign w:val="center"/>
          </w:tcPr>
          <w:p w14:paraId="4D9ACFF2" w14:textId="42E69DBC" w:rsidR="00AF643B" w:rsidRPr="00AF643B" w:rsidRDefault="00AF643B" w:rsidP="00633CD6">
            <w:pPr>
              <w:spacing w:before="60" w:after="60"/>
              <w:ind w:left="567" w:hanging="567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Drůbeží aroma s kvasnicemi</w:t>
            </w:r>
          </w:p>
        </w:tc>
      </w:tr>
      <w:tr w:rsidR="001F3C90" w14:paraId="22AB914F" w14:textId="77777777" w:rsidTr="00AF643B">
        <w:tc>
          <w:tcPr>
            <w:tcW w:w="4525" w:type="dxa"/>
            <w:vAlign w:val="center"/>
          </w:tcPr>
          <w:p w14:paraId="03530320" w14:textId="3781C3F0" w:rsidR="001F3C90" w:rsidRDefault="001F3C90" w:rsidP="00633CD6">
            <w:pPr>
              <w:spacing w:before="60" w:after="60"/>
              <w:jc w:val="both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Povidon</w:t>
            </w:r>
            <w:proofErr w:type="spellEnd"/>
            <w:r>
              <w:rPr>
                <w:iCs/>
                <w:szCs w:val="22"/>
              </w:rPr>
              <w:t xml:space="preserve"> 25</w:t>
            </w:r>
          </w:p>
        </w:tc>
      </w:tr>
      <w:tr w:rsidR="00AF643B" w14:paraId="7E2051F5" w14:textId="77777777" w:rsidTr="00AF643B">
        <w:tc>
          <w:tcPr>
            <w:tcW w:w="4525" w:type="dxa"/>
            <w:vAlign w:val="center"/>
          </w:tcPr>
          <w:p w14:paraId="53752492" w14:textId="2BBBC244" w:rsidR="00AF643B" w:rsidRPr="00B41D57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Monohydrát laktózy</w:t>
            </w:r>
          </w:p>
        </w:tc>
      </w:tr>
      <w:tr w:rsidR="00AF643B" w14:paraId="4430852A" w14:textId="77777777" w:rsidTr="00AF643B">
        <w:tc>
          <w:tcPr>
            <w:tcW w:w="4525" w:type="dxa"/>
            <w:vAlign w:val="center"/>
          </w:tcPr>
          <w:p w14:paraId="10345F16" w14:textId="0228A61F" w:rsidR="00AF643B" w:rsidRDefault="00AF643B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Koloidní bezvodý oxid křemičitý</w:t>
            </w:r>
          </w:p>
        </w:tc>
      </w:tr>
      <w:tr w:rsidR="00AF643B" w14:paraId="755AE427" w14:textId="77777777" w:rsidTr="00AF643B">
        <w:tc>
          <w:tcPr>
            <w:tcW w:w="4525" w:type="dxa"/>
            <w:vAlign w:val="center"/>
          </w:tcPr>
          <w:p w14:paraId="117FF807" w14:textId="0E723C23" w:rsidR="00AF643B" w:rsidRDefault="000C1DA8" w:rsidP="00633CD6">
            <w:pPr>
              <w:spacing w:before="60" w:after="60"/>
              <w:jc w:val="both"/>
              <w:rPr>
                <w:iCs/>
                <w:szCs w:val="22"/>
              </w:rPr>
            </w:pPr>
            <w:r>
              <w:rPr>
                <w:iCs/>
                <w:szCs w:val="22"/>
              </w:rPr>
              <w:t>Magnesium-stearát</w:t>
            </w:r>
          </w:p>
        </w:tc>
      </w:tr>
    </w:tbl>
    <w:p w14:paraId="38F51D2A" w14:textId="77777777" w:rsidR="00872C48" w:rsidRDefault="00872C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57A3AF" w14:textId="451D54A4" w:rsidR="001D73C3" w:rsidRPr="00B41D57" w:rsidRDefault="001D73C3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Hnědá, skvrnitá, kulatá tableta s půlicí rýhou a charakteristickým zápachem. Tablety lze dělit na dvě stejné poloviny.</w:t>
      </w:r>
    </w:p>
    <w:p w14:paraId="2E6CA329" w14:textId="274F782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C12AD7" w14:textId="77777777" w:rsidR="001F2C99" w:rsidRPr="00B41D57" w:rsidRDefault="001F2C99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B41D57" w:rsidRDefault="00CD0A05" w:rsidP="00633CD6">
      <w:pPr>
        <w:pStyle w:val="Style1"/>
        <w:jc w:val="both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B41D57" w:rsidRDefault="00CD0A05" w:rsidP="00633CD6">
      <w:pPr>
        <w:pStyle w:val="Style1"/>
        <w:jc w:val="both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A3FC67" w14:textId="6EE8B824" w:rsidR="005A5A1F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Psi </w:t>
      </w:r>
      <w:r w:rsidRPr="004C021D">
        <w:rPr>
          <w:iCs/>
        </w:rPr>
        <w:t xml:space="preserve">(≥ </w:t>
      </w:r>
      <w:r>
        <w:rPr>
          <w:iCs/>
        </w:rPr>
        <w:t>0,</w:t>
      </w:r>
      <w:r w:rsidRPr="004C021D">
        <w:rPr>
          <w:iCs/>
        </w:rPr>
        <w:t>5</w:t>
      </w:r>
      <w:r>
        <w:rPr>
          <w:iCs/>
        </w:rPr>
        <w:t xml:space="preserve"> </w:t>
      </w:r>
      <w:r w:rsidRPr="004C021D">
        <w:rPr>
          <w:iCs/>
        </w:rPr>
        <w:t>kg)</w:t>
      </w:r>
      <w:r>
        <w:rPr>
          <w:szCs w:val="22"/>
        </w:rPr>
        <w:t>.</w:t>
      </w:r>
    </w:p>
    <w:p w14:paraId="257C233F" w14:textId="77777777" w:rsidR="005A5A1F" w:rsidRPr="00B41D57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B41D57" w:rsidRDefault="00CD0A05" w:rsidP="00633CD6">
      <w:pPr>
        <w:pStyle w:val="Style1"/>
        <w:jc w:val="both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9EE6971" w14:textId="488D98BC" w:rsidR="005A5A1F" w:rsidRPr="00B41D57" w:rsidRDefault="005A5A1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Pro psy s</w:t>
      </w:r>
      <w:r w:rsidR="000C1DA8">
        <w:rPr>
          <w:szCs w:val="22"/>
        </w:rPr>
        <w:t> nebo ohrožené</w:t>
      </w:r>
      <w:r>
        <w:rPr>
          <w:szCs w:val="22"/>
        </w:rPr>
        <w:t xml:space="preserve"> smíšen</w:t>
      </w:r>
      <w:r w:rsidR="000C1DA8">
        <w:rPr>
          <w:szCs w:val="22"/>
        </w:rPr>
        <w:t xml:space="preserve">ou </w:t>
      </w:r>
      <w:r>
        <w:rPr>
          <w:szCs w:val="22"/>
        </w:rPr>
        <w:t>infekcí způsoben</w:t>
      </w:r>
      <w:r w:rsidR="000C1DA8">
        <w:rPr>
          <w:szCs w:val="22"/>
        </w:rPr>
        <w:t>ou</w:t>
      </w:r>
      <w:r>
        <w:rPr>
          <w:szCs w:val="22"/>
        </w:rPr>
        <w:t xml:space="preserve"> tasemnicemi, gastrointestinálními hlísticemi, očními červy, </w:t>
      </w:r>
      <w:r w:rsidR="000C1DA8">
        <w:rPr>
          <w:szCs w:val="22"/>
        </w:rPr>
        <w:t xml:space="preserve">plicními červy a/nebo srdeční </w:t>
      </w:r>
      <w:proofErr w:type="spellStart"/>
      <w:r w:rsidR="000C1DA8">
        <w:rPr>
          <w:szCs w:val="22"/>
        </w:rPr>
        <w:t>dirofilarióz</w:t>
      </w:r>
      <w:r w:rsidR="00E32681">
        <w:rPr>
          <w:szCs w:val="22"/>
        </w:rPr>
        <w:t>ou</w:t>
      </w:r>
      <w:proofErr w:type="spellEnd"/>
      <w:r w:rsidR="000C1DA8">
        <w:rPr>
          <w:szCs w:val="22"/>
        </w:rPr>
        <w:t xml:space="preserve">. Tento veterinární léčivý přípravek je indikován pouze tehdy, je-li současně indikováno použití proti tasemnicím a hlísticím nebo jako prevence srdeční </w:t>
      </w:r>
      <w:proofErr w:type="spellStart"/>
      <w:r w:rsidR="000C1DA8">
        <w:rPr>
          <w:szCs w:val="22"/>
        </w:rPr>
        <w:t>dirofilariózy</w:t>
      </w:r>
      <w:proofErr w:type="spellEnd"/>
      <w:r w:rsidR="000C1DA8">
        <w:rPr>
          <w:szCs w:val="22"/>
        </w:rPr>
        <w:t>/</w:t>
      </w:r>
      <w:proofErr w:type="spellStart"/>
      <w:r w:rsidR="000C1DA8">
        <w:rPr>
          <w:szCs w:val="22"/>
        </w:rPr>
        <w:t>angiostrongylózy</w:t>
      </w:r>
      <w:proofErr w:type="spellEnd"/>
      <w:r w:rsidR="000C1DA8">
        <w:rPr>
          <w:szCs w:val="22"/>
        </w:rPr>
        <w:t xml:space="preserve">. </w:t>
      </w:r>
    </w:p>
    <w:p w14:paraId="09CA2680" w14:textId="77777777" w:rsidR="000C1DA8" w:rsidRDefault="000C1DA8" w:rsidP="00633CD6">
      <w:pPr>
        <w:pStyle w:val="Style1"/>
        <w:jc w:val="both"/>
      </w:pPr>
    </w:p>
    <w:p w14:paraId="031D69AF" w14:textId="05FFFCAA" w:rsidR="000C1DA8" w:rsidRDefault="000C1DA8" w:rsidP="00633CD6">
      <w:pPr>
        <w:pStyle w:val="Style1"/>
        <w:jc w:val="both"/>
        <w:rPr>
          <w:b w:val="0"/>
          <w:bCs/>
          <w:u w:val="single"/>
        </w:rPr>
      </w:pPr>
      <w:r w:rsidRPr="000C1DA8">
        <w:rPr>
          <w:b w:val="0"/>
          <w:bCs/>
          <w:u w:val="single"/>
        </w:rPr>
        <w:t>Tasemnice</w:t>
      </w:r>
    </w:p>
    <w:p w14:paraId="5BC76C27" w14:textId="7B294866" w:rsidR="000C1DA8" w:rsidRDefault="000C1DA8" w:rsidP="00633CD6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8723AE">
        <w:rPr>
          <w:b w:val="0"/>
          <w:bCs/>
        </w:rPr>
        <w:t>í</w:t>
      </w:r>
      <w:r>
        <w:rPr>
          <w:b w:val="0"/>
          <w:bCs/>
        </w:rPr>
        <w:t xml:space="preserve"> tasemnicemi: </w:t>
      </w:r>
      <w:proofErr w:type="spellStart"/>
      <w:r w:rsidRPr="000C1DA8">
        <w:rPr>
          <w:b w:val="0"/>
          <w:bCs/>
          <w:i/>
          <w:iCs/>
        </w:rPr>
        <w:t>Dipylidium</w:t>
      </w:r>
      <w:proofErr w:type="spellEnd"/>
      <w:r w:rsidRPr="000C1DA8">
        <w:rPr>
          <w:b w:val="0"/>
          <w:bCs/>
          <w:i/>
          <w:iCs/>
        </w:rPr>
        <w:t xml:space="preserve"> </w:t>
      </w:r>
      <w:proofErr w:type="spellStart"/>
      <w:r w:rsidRPr="000C1DA8">
        <w:rPr>
          <w:b w:val="0"/>
          <w:bCs/>
          <w:i/>
          <w:iCs/>
        </w:rPr>
        <w:t>caninum</w:t>
      </w:r>
      <w:proofErr w:type="spellEnd"/>
      <w:r w:rsidRPr="000C1DA8">
        <w:rPr>
          <w:b w:val="0"/>
          <w:bCs/>
        </w:rPr>
        <w:t xml:space="preserve">, </w:t>
      </w:r>
      <w:proofErr w:type="spellStart"/>
      <w:r w:rsidRPr="000C1DA8">
        <w:rPr>
          <w:b w:val="0"/>
          <w:bCs/>
          <w:i/>
          <w:iCs/>
        </w:rPr>
        <w:t>Taenia</w:t>
      </w:r>
      <w:proofErr w:type="spellEnd"/>
      <w:r w:rsidRPr="000C1DA8">
        <w:rPr>
          <w:b w:val="0"/>
          <w:bCs/>
        </w:rPr>
        <w:t xml:space="preserve"> </w:t>
      </w:r>
      <w:proofErr w:type="spellStart"/>
      <w:r w:rsidRPr="000C1DA8">
        <w:rPr>
          <w:b w:val="0"/>
          <w:bCs/>
        </w:rPr>
        <w:t>spp</w:t>
      </w:r>
      <w:proofErr w:type="spellEnd"/>
      <w:r w:rsidRPr="000C1DA8">
        <w:rPr>
          <w:b w:val="0"/>
          <w:bCs/>
        </w:rPr>
        <w:t xml:space="preserve">., </w:t>
      </w:r>
      <w:proofErr w:type="spellStart"/>
      <w:r w:rsidRPr="000C1DA8">
        <w:rPr>
          <w:b w:val="0"/>
          <w:bCs/>
          <w:i/>
          <w:iCs/>
        </w:rPr>
        <w:t>Echinococcus</w:t>
      </w:r>
      <w:proofErr w:type="spellEnd"/>
      <w:r w:rsidRPr="000C1DA8">
        <w:rPr>
          <w:b w:val="0"/>
          <w:bCs/>
        </w:rPr>
        <w:t xml:space="preserve"> </w:t>
      </w:r>
      <w:proofErr w:type="spellStart"/>
      <w:r w:rsidRPr="000C1DA8">
        <w:rPr>
          <w:b w:val="0"/>
          <w:bCs/>
        </w:rPr>
        <w:t>spp</w:t>
      </w:r>
      <w:proofErr w:type="spellEnd"/>
      <w:r w:rsidRPr="000C1DA8">
        <w:rPr>
          <w:b w:val="0"/>
          <w:bCs/>
        </w:rPr>
        <w:t xml:space="preserve">., </w:t>
      </w:r>
      <w:proofErr w:type="spellStart"/>
      <w:r w:rsidRPr="000C1DA8">
        <w:rPr>
          <w:b w:val="0"/>
          <w:bCs/>
          <w:i/>
          <w:iCs/>
        </w:rPr>
        <w:t>Mesocestoides</w:t>
      </w:r>
      <w:proofErr w:type="spellEnd"/>
      <w:r w:rsidRPr="000C1DA8">
        <w:rPr>
          <w:b w:val="0"/>
          <w:bCs/>
        </w:rPr>
        <w:t xml:space="preserve"> </w:t>
      </w:r>
      <w:proofErr w:type="spellStart"/>
      <w:r w:rsidRPr="000C1DA8">
        <w:rPr>
          <w:b w:val="0"/>
          <w:bCs/>
        </w:rPr>
        <w:t>spp</w:t>
      </w:r>
      <w:proofErr w:type="spellEnd"/>
      <w:r w:rsidRPr="000C1DA8">
        <w:rPr>
          <w:b w:val="0"/>
          <w:bCs/>
        </w:rPr>
        <w:t>.</w:t>
      </w:r>
    </w:p>
    <w:p w14:paraId="6C4C1854" w14:textId="77777777" w:rsidR="000C1DA8" w:rsidRDefault="000C1DA8" w:rsidP="00633CD6">
      <w:pPr>
        <w:pStyle w:val="Style1"/>
        <w:jc w:val="both"/>
        <w:rPr>
          <w:b w:val="0"/>
          <w:bCs/>
        </w:rPr>
      </w:pPr>
    </w:p>
    <w:p w14:paraId="58FBAAF5" w14:textId="37D46993" w:rsidR="000C1DA8" w:rsidRDefault="00917328" w:rsidP="00633CD6">
      <w:pPr>
        <w:pStyle w:val="Style1"/>
        <w:jc w:val="both"/>
        <w:rPr>
          <w:b w:val="0"/>
          <w:bCs/>
          <w:u w:val="single"/>
        </w:rPr>
      </w:pPr>
      <w:r>
        <w:rPr>
          <w:b w:val="0"/>
          <w:bCs/>
          <w:u w:val="single"/>
        </w:rPr>
        <w:t>Gastrointestinální hlístice</w:t>
      </w:r>
    </w:p>
    <w:p w14:paraId="1EFB1229" w14:textId="79CB7021" w:rsidR="00917328" w:rsidRDefault="00917328" w:rsidP="00633CD6">
      <w:pPr>
        <w:pStyle w:val="Style1"/>
        <w:jc w:val="both"/>
        <w:rPr>
          <w:b w:val="0"/>
          <w:bCs/>
        </w:rPr>
      </w:pPr>
      <w:r>
        <w:rPr>
          <w:b w:val="0"/>
          <w:bCs/>
        </w:rPr>
        <w:t>Léčba infekc</w:t>
      </w:r>
      <w:r w:rsidR="008723AE">
        <w:rPr>
          <w:b w:val="0"/>
          <w:bCs/>
        </w:rPr>
        <w:t>í</w:t>
      </w:r>
      <w:r>
        <w:rPr>
          <w:b w:val="0"/>
          <w:bCs/>
        </w:rPr>
        <w:t>:</w:t>
      </w:r>
    </w:p>
    <w:p w14:paraId="6FC8B67E" w14:textId="620B4628" w:rsidR="00917328" w:rsidRDefault="00917328" w:rsidP="00633CD6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t>Měchovcem</w:t>
      </w:r>
      <w:r w:rsidRPr="00917328">
        <w:t>:</w:t>
      </w:r>
      <w:r>
        <w:rPr>
          <w:b/>
          <w:bCs/>
        </w:rPr>
        <w:t xml:space="preserve"> </w:t>
      </w:r>
      <w:proofErr w:type="spellStart"/>
      <w:r w:rsidRPr="00994D1B">
        <w:rPr>
          <w:i/>
          <w:iCs/>
          <w:szCs w:val="22"/>
        </w:rPr>
        <w:t>Ancylostoma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caninum</w:t>
      </w:r>
      <w:proofErr w:type="spellEnd"/>
    </w:p>
    <w:p w14:paraId="52CB2FA5" w14:textId="1ED2C751" w:rsidR="00917328" w:rsidRDefault="00917328" w:rsidP="00633CD6">
      <w:pPr>
        <w:tabs>
          <w:tab w:val="clear" w:pos="567"/>
        </w:tabs>
        <w:spacing w:line="240" w:lineRule="auto"/>
        <w:jc w:val="both"/>
        <w:rPr>
          <w:i/>
          <w:iCs/>
          <w:szCs w:val="22"/>
        </w:rPr>
      </w:pPr>
      <w:r>
        <w:rPr>
          <w:szCs w:val="22"/>
        </w:rPr>
        <w:t xml:space="preserve">Škrkavkami: </w:t>
      </w:r>
      <w:proofErr w:type="spellStart"/>
      <w:r w:rsidRPr="00994D1B">
        <w:rPr>
          <w:i/>
          <w:iCs/>
          <w:szCs w:val="22"/>
        </w:rPr>
        <w:t>Toxocara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canis</w:t>
      </w:r>
      <w:proofErr w:type="spellEnd"/>
      <w:r w:rsidRPr="00994D1B">
        <w:rPr>
          <w:szCs w:val="22"/>
        </w:rPr>
        <w:t xml:space="preserve">, </w:t>
      </w:r>
      <w:proofErr w:type="spellStart"/>
      <w:r w:rsidRPr="00994D1B">
        <w:rPr>
          <w:i/>
          <w:iCs/>
          <w:szCs w:val="22"/>
        </w:rPr>
        <w:t>Toxascaris</w:t>
      </w:r>
      <w:proofErr w:type="spellEnd"/>
      <w:r w:rsidRPr="00994D1B">
        <w:rPr>
          <w:i/>
          <w:iCs/>
          <w:szCs w:val="22"/>
        </w:rPr>
        <w:t xml:space="preserve"> </w:t>
      </w:r>
      <w:proofErr w:type="spellStart"/>
      <w:r w:rsidRPr="00994D1B">
        <w:rPr>
          <w:i/>
          <w:iCs/>
          <w:szCs w:val="22"/>
        </w:rPr>
        <w:t>leonina</w:t>
      </w:r>
      <w:proofErr w:type="spellEnd"/>
    </w:p>
    <w:p w14:paraId="2580AFD4" w14:textId="0C99A49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</w:rPr>
        <w:t>Tenkohlavcem</w:t>
      </w:r>
      <w:proofErr w:type="spellEnd"/>
      <w:r>
        <w:rPr>
          <w:szCs w:val="22"/>
        </w:rPr>
        <w:t xml:space="preserve">: </w:t>
      </w:r>
      <w:proofErr w:type="spellStart"/>
      <w:r w:rsidRPr="00917328">
        <w:rPr>
          <w:i/>
          <w:szCs w:val="22"/>
        </w:rPr>
        <w:t>Trichuris</w:t>
      </w:r>
      <w:proofErr w:type="spellEnd"/>
      <w:r w:rsidRPr="00917328">
        <w:rPr>
          <w:i/>
          <w:szCs w:val="22"/>
        </w:rPr>
        <w:t xml:space="preserve"> </w:t>
      </w:r>
      <w:proofErr w:type="spellStart"/>
      <w:r w:rsidRPr="00917328">
        <w:rPr>
          <w:i/>
          <w:szCs w:val="22"/>
        </w:rPr>
        <w:t>vulpis</w:t>
      </w:r>
      <w:proofErr w:type="spellEnd"/>
    </w:p>
    <w:p w14:paraId="5FE1AB5F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AE247A8" w14:textId="3D3B9F6C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>
        <w:rPr>
          <w:iCs/>
          <w:szCs w:val="22"/>
          <w:u w:val="single"/>
        </w:rPr>
        <w:t>Oční červ</w:t>
      </w:r>
    </w:p>
    <w:p w14:paraId="2D176DA4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 xml:space="preserve">Léčba infekce </w:t>
      </w:r>
      <w:proofErr w:type="spellStart"/>
      <w:r w:rsidRPr="00917328">
        <w:rPr>
          <w:i/>
          <w:iCs/>
          <w:szCs w:val="22"/>
        </w:rPr>
        <w:t>Thelazia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callipaeda</w:t>
      </w:r>
      <w:proofErr w:type="spellEnd"/>
      <w:r w:rsidRPr="00917328">
        <w:rPr>
          <w:iCs/>
          <w:szCs w:val="22"/>
        </w:rPr>
        <w:t xml:space="preserve"> (viz specifická léčba popsaná v bodě 3.9 „Cesty podání a dávkování“).</w:t>
      </w:r>
    </w:p>
    <w:p w14:paraId="4F80DD16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6C72225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>Plicní červi</w:t>
      </w:r>
    </w:p>
    <w:p w14:paraId="4075BA7C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>Léčba infekcí:</w:t>
      </w:r>
    </w:p>
    <w:p w14:paraId="7F80071A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Angiostrongylus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vasorum</w:t>
      </w:r>
      <w:proofErr w:type="spellEnd"/>
      <w:r w:rsidRPr="00917328">
        <w:rPr>
          <w:iCs/>
          <w:szCs w:val="22"/>
        </w:rPr>
        <w:t xml:space="preserve"> (snížení míry infekce nezralými stádii (L5) a dospělci parazitů; viz specifická léčba a prevence onemocnění popsaná v bodě 3.9 „Cesty podání a dávkování“), </w:t>
      </w:r>
    </w:p>
    <w:p w14:paraId="6D9D6B66" w14:textId="77777777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917328">
        <w:rPr>
          <w:i/>
          <w:iCs/>
          <w:szCs w:val="22"/>
        </w:rPr>
        <w:t>Crenosoma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vulpis</w:t>
      </w:r>
      <w:proofErr w:type="spellEnd"/>
      <w:r w:rsidRPr="00917328">
        <w:rPr>
          <w:iCs/>
          <w:szCs w:val="22"/>
        </w:rPr>
        <w:t xml:space="preserve"> (snížení míry infekce).</w:t>
      </w:r>
    </w:p>
    <w:p w14:paraId="4A9373E2" w14:textId="77777777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56FE41B" w14:textId="7D4BFF68" w:rsid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  <w:u w:val="single"/>
        </w:rPr>
      </w:pPr>
      <w:r w:rsidRPr="00917328">
        <w:rPr>
          <w:iCs/>
          <w:szCs w:val="22"/>
          <w:u w:val="single"/>
        </w:rPr>
        <w:t xml:space="preserve">Srdeční </w:t>
      </w:r>
      <w:proofErr w:type="spellStart"/>
      <w:r w:rsidR="00632DDC">
        <w:rPr>
          <w:iCs/>
          <w:szCs w:val="22"/>
          <w:u w:val="single"/>
        </w:rPr>
        <w:t>dirofil</w:t>
      </w:r>
      <w:r w:rsidR="0069630F">
        <w:rPr>
          <w:iCs/>
          <w:szCs w:val="22"/>
          <w:u w:val="single"/>
        </w:rPr>
        <w:t>árie</w:t>
      </w:r>
      <w:proofErr w:type="spellEnd"/>
    </w:p>
    <w:p w14:paraId="7A662F90" w14:textId="4B7579B3" w:rsidR="00917328" w:rsidRPr="00917328" w:rsidRDefault="00917328" w:rsidP="00633CD6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917328">
        <w:rPr>
          <w:iCs/>
          <w:szCs w:val="22"/>
        </w:rPr>
        <w:t xml:space="preserve">Prevence srdeční </w:t>
      </w:r>
      <w:proofErr w:type="spellStart"/>
      <w:r w:rsidRPr="00917328">
        <w:rPr>
          <w:iCs/>
          <w:szCs w:val="22"/>
        </w:rPr>
        <w:t>dirofiláriózy</w:t>
      </w:r>
      <w:proofErr w:type="spellEnd"/>
      <w:r w:rsidRPr="00917328">
        <w:rPr>
          <w:iCs/>
          <w:szCs w:val="22"/>
        </w:rPr>
        <w:t xml:space="preserve"> </w:t>
      </w:r>
      <w:r w:rsidRPr="00917328">
        <w:rPr>
          <w:i/>
          <w:iCs/>
          <w:szCs w:val="22"/>
        </w:rPr>
        <w:t>(</w:t>
      </w:r>
      <w:proofErr w:type="spellStart"/>
      <w:r w:rsidRPr="00917328">
        <w:rPr>
          <w:i/>
          <w:iCs/>
          <w:szCs w:val="22"/>
        </w:rPr>
        <w:t>Dirofilaria</w:t>
      </w:r>
      <w:proofErr w:type="spellEnd"/>
      <w:r w:rsidRPr="00917328">
        <w:rPr>
          <w:i/>
          <w:iCs/>
          <w:szCs w:val="22"/>
        </w:rPr>
        <w:t xml:space="preserve"> </w:t>
      </w:r>
      <w:proofErr w:type="spellStart"/>
      <w:r w:rsidRPr="00917328">
        <w:rPr>
          <w:i/>
          <w:iCs/>
          <w:szCs w:val="22"/>
        </w:rPr>
        <w:t>immitis</w:t>
      </w:r>
      <w:proofErr w:type="spellEnd"/>
      <w:r w:rsidRPr="00917328">
        <w:rPr>
          <w:i/>
          <w:iCs/>
          <w:szCs w:val="22"/>
        </w:rPr>
        <w:t>)</w:t>
      </w:r>
      <w:r w:rsidRPr="00917328">
        <w:rPr>
          <w:iCs/>
          <w:szCs w:val="22"/>
        </w:rPr>
        <w:t>, pokud je indikována současná léčba proti tasemnicím.</w:t>
      </w:r>
    </w:p>
    <w:p w14:paraId="00C68AAA" w14:textId="020E0287" w:rsidR="00917328" w:rsidRPr="00917328" w:rsidRDefault="00917328" w:rsidP="00633CD6">
      <w:pPr>
        <w:pStyle w:val="Style1"/>
        <w:jc w:val="both"/>
        <w:rPr>
          <w:b w:val="0"/>
          <w:bCs/>
        </w:rPr>
      </w:pPr>
    </w:p>
    <w:p w14:paraId="2224B702" w14:textId="2B33A483" w:rsidR="00C114FF" w:rsidRPr="00B41D57" w:rsidRDefault="00CD0A05" w:rsidP="00633CD6">
      <w:pPr>
        <w:pStyle w:val="Style1"/>
        <w:jc w:val="both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CBDD8E0" w14:textId="77777777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>Nepoužívat u štěňat ve stáří do 2 týdnů a/nebo s živou hmotností menší než 0,5 kg.</w:t>
      </w:r>
    </w:p>
    <w:p w14:paraId="3A35D414" w14:textId="77777777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>Nepoužívat v případech přecitlivělosti na léčivé látky nebo na některou z pomocných látek.</w:t>
      </w:r>
    </w:p>
    <w:p w14:paraId="3E15E0C7" w14:textId="67922EB7" w:rsidR="00A43C59" w:rsidRPr="00A43C59" w:rsidRDefault="00A43C59" w:rsidP="00633CD6">
      <w:pPr>
        <w:tabs>
          <w:tab w:val="clear" w:pos="567"/>
        </w:tabs>
        <w:spacing w:line="240" w:lineRule="auto"/>
        <w:jc w:val="both"/>
      </w:pPr>
      <w:r w:rsidRPr="00A43C59">
        <w:t xml:space="preserve">Viz také bod 3.5 „Zvláštní </w:t>
      </w:r>
      <w:r w:rsidR="007F06FB">
        <w:t>opatření pro použití</w:t>
      </w:r>
      <w:r w:rsidRPr="00A43C59">
        <w:t>“.</w:t>
      </w:r>
    </w:p>
    <w:p w14:paraId="54C2FA76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B41D57" w:rsidRDefault="00CD0A05" w:rsidP="00633CD6">
      <w:pPr>
        <w:pStyle w:val="Style1"/>
        <w:jc w:val="both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641582E" w14:textId="03F07ACB" w:rsidR="00ED028F" w:rsidRPr="00ED028F" w:rsidRDefault="008723AE" w:rsidP="00633CD6">
      <w:pPr>
        <w:tabs>
          <w:tab w:val="clear" w:pos="567"/>
        </w:tabs>
        <w:spacing w:line="240" w:lineRule="auto"/>
        <w:jc w:val="both"/>
      </w:pPr>
      <w:r>
        <w:t>M</w:t>
      </w:r>
      <w:r w:rsidR="00ED028F" w:rsidRPr="00ED028F">
        <w:t>ožnost, že</w:t>
      </w:r>
      <w:r>
        <w:t xml:space="preserve"> další</w:t>
      </w:r>
      <w:r w:rsidR="00ED028F" w:rsidRPr="00ED028F">
        <w:t xml:space="preserve"> zvířata</w:t>
      </w:r>
      <w:r>
        <w:t xml:space="preserve"> v téže</w:t>
      </w:r>
      <w:r w:rsidR="00ED028F" w:rsidRPr="00ED028F">
        <w:t xml:space="preserve"> domácnosti</w:t>
      </w:r>
      <w:r>
        <w:t xml:space="preserve"> mohou být zdrojem opětovné infekce by měla být zvážena</w:t>
      </w:r>
      <w:r w:rsidR="00ED028F" w:rsidRPr="00ED028F">
        <w:t xml:space="preserve"> a tato zvířata by měla být </w:t>
      </w:r>
      <w:r>
        <w:t>v případě</w:t>
      </w:r>
      <w:r w:rsidR="00ED028F" w:rsidRPr="00ED028F">
        <w:t xml:space="preserve"> potřeby ošetřena vhodným</w:t>
      </w:r>
      <w:r>
        <w:t xml:space="preserve"> veterinárním léčivým</w:t>
      </w:r>
      <w:r w:rsidR="00ED028F" w:rsidRPr="00ED028F">
        <w:t xml:space="preserve"> přípravkem.</w:t>
      </w:r>
    </w:p>
    <w:p w14:paraId="03E0A27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Doporučuje se současně ošetřit všechna zvířata žijící v jedné domácnosti. </w:t>
      </w:r>
    </w:p>
    <w:p w14:paraId="5BC5B38D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Pokud byla potvrzena infekce tasemnicí </w:t>
      </w:r>
      <w:r w:rsidRPr="00ED028F">
        <w:rPr>
          <w:i/>
          <w:iCs/>
        </w:rPr>
        <w:t xml:space="preserve">D.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rPr>
          <w:iCs/>
        </w:rPr>
        <w:t>,</w:t>
      </w:r>
      <w:r w:rsidRPr="00ED028F">
        <w:t xml:space="preserve"> měla by se s veterinárním lékařem projednat i souběžná léčba proti mezihostitelům, jako jsou blechy a vši, aby se zabránilo reinfekci.</w:t>
      </w:r>
    </w:p>
    <w:p w14:paraId="4A861FE2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681FE04" w14:textId="07191672" w:rsidR="00ED028F" w:rsidRPr="00ED028F" w:rsidRDefault="008723AE" w:rsidP="00633CD6">
      <w:pPr>
        <w:tabs>
          <w:tab w:val="clear" w:pos="567"/>
        </w:tabs>
        <w:spacing w:line="240" w:lineRule="auto"/>
        <w:jc w:val="both"/>
      </w:pPr>
      <w:bookmarkStart w:id="0" w:name="_Hlk216167395"/>
      <w:bookmarkStart w:id="1" w:name="_Hlk143870438"/>
      <w:r>
        <w:t>Opakované užívání po delší dobu, zejména při užívání léčivých látek ze stejné skupiny, zvyšuje riziko vzniku rezistence.</w:t>
      </w:r>
      <w:bookmarkEnd w:id="0"/>
    </w:p>
    <w:p w14:paraId="13FA9BEC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03C769E" w14:textId="670222A2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Nadbytečné použití </w:t>
      </w:r>
      <w:proofErr w:type="spellStart"/>
      <w:r w:rsidRPr="00ED028F">
        <w:t>antiparazitik</w:t>
      </w:r>
      <w:proofErr w:type="spellEnd"/>
      <w:r w:rsidRPr="00ED028F">
        <w:t xml:space="preserve"> nebo použití v rozporu s pokyny uvedenými v SPC může zvýšit</w:t>
      </w:r>
      <w:r w:rsidR="008723AE">
        <w:t xml:space="preserve"> selekčním</w:t>
      </w:r>
      <w:r w:rsidRPr="00ED028F">
        <w:t xml:space="preserve"> tlak</w:t>
      </w:r>
      <w:r w:rsidR="008723AE">
        <w:t>em</w:t>
      </w:r>
      <w:r w:rsidRPr="00ED028F">
        <w:t xml:space="preserve"> rezistenc</w:t>
      </w:r>
      <w:r w:rsidR="008723AE">
        <w:t>i</w:t>
      </w:r>
      <w:r w:rsidRPr="00ED028F">
        <w:t xml:space="preserve"> a vést ke snížení účinnosti. Rozhodnutí o použití </w:t>
      </w:r>
      <w:r w:rsidR="008723AE">
        <w:t xml:space="preserve">veterinárního léčivého </w:t>
      </w:r>
      <w:r w:rsidRPr="00ED028F">
        <w:t>přípravku by mělo být založeno na potvrzení druhu parazita a parazitární zátěž</w:t>
      </w:r>
      <w:r w:rsidR="008723AE">
        <w:t>i</w:t>
      </w:r>
      <w:r w:rsidRPr="00ED028F">
        <w:t xml:space="preserve"> nebo</w:t>
      </w:r>
      <w:r w:rsidR="00196A91">
        <w:t xml:space="preserve"> na</w:t>
      </w:r>
      <w:r w:rsidRPr="00ED028F">
        <w:t xml:space="preserve"> rizik</w:t>
      </w:r>
      <w:r w:rsidR="00196A91">
        <w:t>u</w:t>
      </w:r>
      <w:r w:rsidRPr="00ED028F">
        <w:t xml:space="preserve"> infekce na základě </w:t>
      </w:r>
      <w:r w:rsidR="00196A91">
        <w:t xml:space="preserve">jeho </w:t>
      </w:r>
      <w:r w:rsidRPr="00ED028F">
        <w:t>epidemiologick</w:t>
      </w:r>
      <w:r w:rsidR="00196A91">
        <w:t>ých</w:t>
      </w:r>
      <w:r w:rsidRPr="00ED028F">
        <w:t xml:space="preserve"> </w:t>
      </w:r>
      <w:r w:rsidR="00196A91">
        <w:t>informací, a to u každého jednotlivého zvířete</w:t>
      </w:r>
      <w:r w:rsidRPr="00ED028F">
        <w:t>.</w:t>
      </w:r>
    </w:p>
    <w:bookmarkEnd w:id="1"/>
    <w:p w14:paraId="7A9F429E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4ACBA295" w14:textId="6574CE2C" w:rsidR="00ED028F" w:rsidRPr="00ED028F" w:rsidRDefault="00196A91" w:rsidP="00633CD6">
      <w:pPr>
        <w:tabs>
          <w:tab w:val="clear" w:pos="567"/>
        </w:tabs>
        <w:spacing w:line="240" w:lineRule="auto"/>
        <w:jc w:val="both"/>
      </w:pPr>
      <w:bookmarkStart w:id="2" w:name="_Hlk145407566"/>
      <w:r>
        <w:t>Jestliže</w:t>
      </w:r>
      <w:r w:rsidR="00ED028F" w:rsidRPr="00ED028F">
        <w:t xml:space="preserve"> neexistuje riziko </w:t>
      </w:r>
      <w:proofErr w:type="spellStart"/>
      <w:r>
        <w:t>ko</w:t>
      </w:r>
      <w:r w:rsidR="00ED028F" w:rsidRPr="00ED028F">
        <w:t>infekce</w:t>
      </w:r>
      <w:proofErr w:type="spellEnd"/>
      <w:r w:rsidR="00ED028F" w:rsidRPr="00ED028F">
        <w:t xml:space="preserve"> hlísticemi nebo tasemnicemi, </w:t>
      </w:r>
      <w:r>
        <w:t>měl by být podán</w:t>
      </w:r>
      <w:r w:rsidR="00ED028F" w:rsidRPr="00ED028F">
        <w:t xml:space="preserve"> veterinární léčivý přípravek</w:t>
      </w:r>
      <w:r>
        <w:t xml:space="preserve"> s úzkým spektrem účinku</w:t>
      </w:r>
      <w:r w:rsidR="00ED028F" w:rsidRPr="00ED028F">
        <w:t>.</w:t>
      </w:r>
    </w:p>
    <w:p w14:paraId="0128F94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BF0201E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Byla hlášena rezistence </w:t>
      </w:r>
      <w:proofErr w:type="spellStart"/>
      <w:r w:rsidRPr="00ED028F">
        <w:rPr>
          <w:i/>
          <w:iCs/>
        </w:rPr>
        <w:t>Dipylidium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prazikvantelu</w:t>
      </w:r>
      <w:proofErr w:type="spellEnd"/>
      <w:r w:rsidRPr="00ED028F">
        <w:t xml:space="preserve">, stejně jako případy </w:t>
      </w:r>
      <w:proofErr w:type="spellStart"/>
      <w:r w:rsidRPr="00ED028F">
        <w:t>multirezistence</w:t>
      </w:r>
      <w:proofErr w:type="spellEnd"/>
      <w:r w:rsidRPr="00ED028F">
        <w:t xml:space="preserve"> </w:t>
      </w:r>
      <w:proofErr w:type="spellStart"/>
      <w:r w:rsidRPr="00ED028F">
        <w:rPr>
          <w:i/>
          <w:iCs/>
        </w:rPr>
        <w:t>Ancylostoma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caninum</w:t>
      </w:r>
      <w:proofErr w:type="spellEnd"/>
      <w:r w:rsidRPr="00ED028F">
        <w:t xml:space="preserve"> k </w:t>
      </w:r>
      <w:proofErr w:type="spellStart"/>
      <w:r w:rsidRPr="00ED028F">
        <w:t>milbemycinoximu</w:t>
      </w:r>
      <w:proofErr w:type="spellEnd"/>
      <w:r w:rsidRPr="00ED028F">
        <w:t xml:space="preserve"> a rezistence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t xml:space="preserve"> k </w:t>
      </w:r>
      <w:proofErr w:type="spellStart"/>
      <w:r w:rsidRPr="00ED028F">
        <w:t>makrocyklickým</w:t>
      </w:r>
      <w:proofErr w:type="spellEnd"/>
      <w:r w:rsidRPr="00ED028F">
        <w:t xml:space="preserve"> laktonům.</w:t>
      </w:r>
    </w:p>
    <w:p w14:paraId="660CD406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52EC735" w14:textId="4D165D0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Doporučuje se dále vyšetřovat případy podezření na rezistenci pomocí vhodné diagnostické metody. Potvrzená rezistence by měla být hlášena držiteli rozhodnutí o registraci nebo příslušným </w:t>
      </w:r>
      <w:r w:rsidR="00196A91">
        <w:t>orgánům</w:t>
      </w:r>
      <w:r w:rsidRPr="00ED028F">
        <w:t>.</w:t>
      </w:r>
    </w:p>
    <w:p w14:paraId="3E9CEFF4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25AE4A38" w14:textId="7BFF241A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Při použ</w:t>
      </w:r>
      <w:r w:rsidR="00196A91">
        <w:t>ívání</w:t>
      </w:r>
      <w:r w:rsidRPr="00ED028F">
        <w:t xml:space="preserve"> tohoto veterinárního léčivého přípravku je třeba vzít v úvahu místní </w:t>
      </w:r>
      <w:r w:rsidR="00196A91">
        <w:t xml:space="preserve">epidemiologickou </w:t>
      </w:r>
      <w:r w:rsidRPr="00ED028F">
        <w:t>informac</w:t>
      </w:r>
      <w:r w:rsidR="00196A91">
        <w:t>i</w:t>
      </w:r>
      <w:r w:rsidRPr="00ED028F">
        <w:t xml:space="preserve"> o </w:t>
      </w:r>
      <w:r w:rsidR="00196A91">
        <w:t xml:space="preserve">aktuální </w:t>
      </w:r>
      <w:r w:rsidRPr="00ED028F">
        <w:t xml:space="preserve">citlivosti cílových parazitů, </w:t>
      </w:r>
      <w:r w:rsidR="00196A91">
        <w:t xml:space="preserve">pokud </w:t>
      </w:r>
      <w:r w:rsidRPr="00ED028F">
        <w:t>jsou k dispozici.</w:t>
      </w:r>
      <w:bookmarkEnd w:id="2"/>
    </w:p>
    <w:p w14:paraId="7D798E15" w14:textId="77777777" w:rsidR="00E86CEE" w:rsidRPr="00B41D57" w:rsidRDefault="00E86CEE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B41D57" w:rsidRDefault="00CD0A05" w:rsidP="00633CD6">
      <w:pPr>
        <w:pStyle w:val="Style1"/>
        <w:jc w:val="both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73D97C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rPr>
          <w:iCs/>
        </w:rPr>
        <w:t xml:space="preserve">Léčba psů s vysokým počtem cirkulujících mikrofilárií může někdy vést ke vzniku reakcí přecitlivělosti, jako jsou bledé sliznice, zvracení, třes, ztížené dýchání nebo nadměrné slinění. Tyto reakce jsou spojeny </w:t>
      </w:r>
      <w:r w:rsidRPr="00ED028F">
        <w:rPr>
          <w:iCs/>
        </w:rPr>
        <w:lastRenderedPageBreak/>
        <w:t xml:space="preserve">s uvolněním bílkovin z uhynulých nebo hynoucích mikrofilárií a </w:t>
      </w:r>
      <w:r w:rsidRPr="00ED028F">
        <w:t>nejde o přímý toxický účinek tohoto veterinárního léčivého přípravku</w:t>
      </w:r>
      <w:r w:rsidRPr="00ED028F">
        <w:rPr>
          <w:iCs/>
        </w:rPr>
        <w:t xml:space="preserve">. </w:t>
      </w:r>
      <w:bookmarkStart w:id="3" w:name="_Hlk152242243"/>
      <w:r w:rsidRPr="00ED028F">
        <w:rPr>
          <w:iCs/>
        </w:rPr>
        <w:t xml:space="preserve">Použití </w:t>
      </w:r>
      <w:r w:rsidRPr="00ED028F">
        <w:t>u psů postižených mikrofilaremií</w:t>
      </w:r>
      <w:r w:rsidRPr="00ED028F">
        <w:rPr>
          <w:iCs/>
        </w:rPr>
        <w:t xml:space="preserve"> se proto nedoporučuje</w:t>
      </w:r>
      <w:r w:rsidRPr="00ED028F">
        <w:t xml:space="preserve">. </w:t>
      </w:r>
    </w:p>
    <w:bookmarkEnd w:id="3"/>
    <w:p w14:paraId="3F6B62AF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15B597FD" w14:textId="33A2287B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 xml:space="preserve">V oblastech s rizikem výskytu srdeční dirofilariózy nebo v případě, kdy pes cestoval do nebo z oblastí s rizikem výskytu srdeční dirofilariózy, se doporučuje před použitím </w:t>
      </w:r>
      <w:bookmarkStart w:id="4" w:name="_Hlk133248441"/>
      <w:r w:rsidRPr="00ED028F">
        <w:t>tohoto veterinárního léčivého</w:t>
      </w:r>
      <w:bookmarkEnd w:id="4"/>
      <w:r w:rsidRPr="00ED028F">
        <w:t xml:space="preserve"> přípravku konzultace s veterinárním lékařem k vyloučení přítomnosti jakéhokoliv souběžného nakažení </w:t>
      </w:r>
      <w:proofErr w:type="spellStart"/>
      <w:r w:rsidRPr="00ED028F">
        <w:rPr>
          <w:i/>
          <w:iCs/>
        </w:rPr>
        <w:t>Dirofilaria</w:t>
      </w:r>
      <w:proofErr w:type="spellEnd"/>
      <w:r w:rsidRPr="00ED028F">
        <w:rPr>
          <w:i/>
          <w:iCs/>
        </w:rPr>
        <w:t xml:space="preserve"> </w:t>
      </w:r>
      <w:proofErr w:type="spellStart"/>
      <w:r w:rsidRPr="00ED028F">
        <w:rPr>
          <w:i/>
          <w:iCs/>
        </w:rPr>
        <w:t>immitis</w:t>
      </w:r>
      <w:proofErr w:type="spellEnd"/>
      <w:r w:rsidRPr="00ED028F">
        <w:rPr>
          <w:i/>
          <w:iCs/>
        </w:rPr>
        <w:t>.</w:t>
      </w:r>
      <w:r w:rsidRPr="00ED028F">
        <w:t xml:space="preserve"> V případě pozitivní diagnózy se před podáním tohoto veterinárního léčivého přípravku indikuje adulticidní terapie. </w:t>
      </w:r>
    </w:p>
    <w:p w14:paraId="7294722A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43ECAA5F" w14:textId="6EF7D384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Nebyly provedeny žádné studie s vážně oslabenými psy nebo jednotlivci s vážně narušenou funkcí ledvin nebo jater. Použití tohoto veterinárního léčivého přípravku se pro tato zvířata nedoporučuje nebo pouze po zvážení terapeutického prospěchu a rizika příslušným veterinárním lékařem.</w:t>
      </w:r>
    </w:p>
    <w:p w14:paraId="6950D4C1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5CFECC93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U psů mladších než 4 týdny je infekce tasemnicí neobvyklá. Není proto zapotřebí ošetřovat zvířata ve stáří do 4 týdnů kombinovaným veterinárním léčivým přípravkem.</w:t>
      </w:r>
    </w:p>
    <w:p w14:paraId="35FB02C9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</w:p>
    <w:p w14:paraId="79A6BB9F" w14:textId="77777777" w:rsidR="00ED028F" w:rsidRPr="00ED028F" w:rsidRDefault="00ED028F" w:rsidP="00633CD6">
      <w:pPr>
        <w:tabs>
          <w:tab w:val="clear" w:pos="567"/>
        </w:tabs>
        <w:spacing w:line="240" w:lineRule="auto"/>
        <w:jc w:val="both"/>
      </w:pPr>
      <w:r w:rsidRPr="00ED028F">
        <w:t>Studie s milbemycinoximem naznačují, že hranice bezpečnosti je u některých psů plemene kolie nebo příbuzných plemen nižší než u jiných plemen. U těchto psů je nutno přesně dodržovat doporučené dávkování. Snášenlivost štěňat nižší věkové kategorie těchto plemen k tomuto veterinárnímu léčivému přípravku nebyla hodnocena. Klinické příznaky u kolií jsou podobné těm, které byly pozorovány u ostatních plemen psů při předávkování (viz bod 3.10 „Příznaky předávkování“).</w:t>
      </w:r>
    </w:p>
    <w:p w14:paraId="12DA67C9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7F609A" w14:textId="60A53DFE" w:rsidR="00C114FF" w:rsidRDefault="00ED028F" w:rsidP="00633CD6">
      <w:pPr>
        <w:tabs>
          <w:tab w:val="clear" w:pos="567"/>
        </w:tabs>
        <w:spacing w:line="240" w:lineRule="auto"/>
        <w:jc w:val="both"/>
      </w:pPr>
      <w:r>
        <w:t xml:space="preserve">Drůbeží aroma obsahuje drůbeží bílkovinu. </w:t>
      </w:r>
    </w:p>
    <w:p w14:paraId="6E656D74" w14:textId="77777777" w:rsidR="00ED028F" w:rsidRPr="00B41D57" w:rsidRDefault="00ED028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A24DDD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Tento veterinární léčivý přípravek může být škodlivý při požití, zejména pro děti. </w:t>
      </w:r>
    </w:p>
    <w:p w14:paraId="41F2D23E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>Zabraňte náhodnému požití.</w:t>
      </w:r>
    </w:p>
    <w:p w14:paraId="325A8475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Veškeré nepoužité části tablety vraťte do otevřeného blistru, vložte do vnější krabičky a použijte při dalším podání. </w:t>
      </w:r>
    </w:p>
    <w:p w14:paraId="4EB410F8" w14:textId="36F9F0A3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V případě náhodného požití vyhledejte </w:t>
      </w:r>
      <w:r w:rsidR="00F1283F">
        <w:t xml:space="preserve">ihned </w:t>
      </w:r>
      <w:r w:rsidRPr="00CB04F8">
        <w:t xml:space="preserve">lékařskou pomoc a ukažte </w:t>
      </w:r>
      <w:bookmarkStart w:id="5" w:name="_Hlk216341052"/>
      <w:r w:rsidRPr="00CB04F8">
        <w:t>příbalov</w:t>
      </w:r>
      <w:r w:rsidR="00F1283F">
        <w:t xml:space="preserve">ou informaci nebo </w:t>
      </w:r>
      <w:r w:rsidRPr="00CB04F8">
        <w:t>etiketu</w:t>
      </w:r>
      <w:r w:rsidR="00F1283F">
        <w:t xml:space="preserve"> praktickému </w:t>
      </w:r>
      <w:r w:rsidR="00F1283F" w:rsidRPr="00CB04F8">
        <w:t>lékaři</w:t>
      </w:r>
      <w:r w:rsidR="00F1283F">
        <w:t>.</w:t>
      </w:r>
      <w:bookmarkEnd w:id="5"/>
    </w:p>
    <w:p w14:paraId="0B3F7940" w14:textId="77777777" w:rsidR="00CB04F8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CB04F8">
        <w:t xml:space="preserve">Po použití si umyjte ruce. </w:t>
      </w:r>
    </w:p>
    <w:p w14:paraId="0F9C60B2" w14:textId="1631B027" w:rsidR="00C114FF" w:rsidRPr="00B41D57" w:rsidRDefault="00CB04F8" w:rsidP="00633CD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CB04F8">
        <w:t>Drůbeží příchuť s kvasnicemi obsahuje drůbeží bílkovinu.</w:t>
      </w:r>
    </w:p>
    <w:p w14:paraId="7D364D19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77777777" w:rsidR="00295140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99AF40" w14:textId="61A8030B" w:rsidR="00C114FF" w:rsidRPr="00B41D57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Viz bod 5.5</w:t>
      </w:r>
      <w:r w:rsidR="001F2C99">
        <w:t>.</w:t>
      </w:r>
    </w:p>
    <w:p w14:paraId="0CE51CD2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8F4D6D" w14:textId="4E4D0FED" w:rsidR="00295140" w:rsidRDefault="00CD0A05" w:rsidP="00633CD6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7D68E949" w14:textId="77777777" w:rsidR="001F2C99" w:rsidRDefault="001F2C99" w:rsidP="00633CD6">
      <w:pPr>
        <w:tabs>
          <w:tab w:val="clear" w:pos="567"/>
        </w:tabs>
        <w:spacing w:line="240" w:lineRule="auto"/>
        <w:jc w:val="both"/>
      </w:pPr>
    </w:p>
    <w:p w14:paraId="445D7E09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B04F8">
        <w:rPr>
          <w:szCs w:val="22"/>
        </w:rPr>
        <w:t>Echinokokóza představuje riziko pro člověka. Vzhledem k tomu, že echinokokóza podléhá povinnosti hlášení Světové organizaci pro zdraví zvířat (WOAH), je třeba získat konkrétní pokyny pro léčbu, sledování a zajištění bezpečnosti osob od příslušného kompetentního orgánu (např. expertů nebo ústavů parazitologie).</w:t>
      </w:r>
    </w:p>
    <w:p w14:paraId="5BBEC413" w14:textId="77777777" w:rsidR="00CB04F8" w:rsidRPr="00B41D57" w:rsidRDefault="00CB04F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B41D57" w:rsidRDefault="00CD0A05" w:rsidP="00633CD6">
      <w:pPr>
        <w:pStyle w:val="Style1"/>
        <w:jc w:val="both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B1DC515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Psi:</w:t>
      </w:r>
    </w:p>
    <w:p w14:paraId="401EB196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B04F8" w:rsidRPr="00CB04F8" w14:paraId="132C5F6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A42D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Velmi vzácné</w:t>
            </w:r>
          </w:p>
          <w:p w14:paraId="459A46A3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B175" w14:textId="05899783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 xml:space="preserve">Gastrointestinální </w:t>
            </w:r>
            <w:r w:rsidR="002F54D0">
              <w:t>p</w:t>
            </w:r>
            <w:r w:rsidR="00B94B97">
              <w:t>oruchy</w:t>
            </w:r>
            <w:r w:rsidRPr="00CB04F8">
              <w:t xml:space="preserve"> (jako průjem, slinění, zvracení)</w:t>
            </w:r>
          </w:p>
          <w:p w14:paraId="4568B1F7" w14:textId="77777777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Reakce přecitlivělosti</w:t>
            </w:r>
          </w:p>
          <w:p w14:paraId="5C80301D" w14:textId="0A864041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</w:pPr>
            <w:r w:rsidRPr="00CB04F8">
              <w:t>Neurologické p</w:t>
            </w:r>
            <w:r w:rsidR="002F54D0">
              <w:t>oruchy</w:t>
            </w:r>
            <w:r w:rsidRPr="00CB04F8">
              <w:t xml:space="preserve"> (jako ataxie, svalový třes)</w:t>
            </w:r>
          </w:p>
          <w:p w14:paraId="3CC2AB24" w14:textId="5B5BB1E9" w:rsidR="00CB04F8" w:rsidRPr="00CB04F8" w:rsidRDefault="00CB04F8" w:rsidP="00633CD6">
            <w:pPr>
              <w:tabs>
                <w:tab w:val="clear" w:pos="567"/>
              </w:tabs>
              <w:spacing w:line="240" w:lineRule="auto"/>
              <w:jc w:val="both"/>
              <w:rPr>
                <w:iCs/>
              </w:rPr>
            </w:pPr>
            <w:r w:rsidRPr="00CB04F8">
              <w:t>Systémové p</w:t>
            </w:r>
            <w:r w:rsidR="002F54D0">
              <w:t>oruchy</w:t>
            </w:r>
            <w:r w:rsidRPr="00CB04F8">
              <w:t xml:space="preserve"> (jako nechutenství, letargie)</w:t>
            </w:r>
          </w:p>
        </w:tc>
      </w:tr>
    </w:tbl>
    <w:p w14:paraId="1D616E5A" w14:textId="77777777" w:rsidR="00295140" w:rsidRPr="00B41D57" w:rsidRDefault="0029514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32652" w14:textId="631A91CA" w:rsidR="00247A48" w:rsidRDefault="00CD0A05" w:rsidP="00633CD6">
      <w:pPr>
        <w:jc w:val="both"/>
      </w:pPr>
      <w:bookmarkStart w:id="6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</w:t>
      </w:r>
      <w:r w:rsidRPr="00B41D57">
        <w:lastRenderedPageBreak/>
        <w:t>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7" w:name="_Hlk184130880"/>
      <w:r w:rsidRPr="00B41D57">
        <w:t>Podrobné kontaktní údaje naleznete</w:t>
      </w:r>
      <w:bookmarkEnd w:id="7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CB04F8">
        <w:t>.</w:t>
      </w:r>
    </w:p>
    <w:bookmarkEnd w:id="6"/>
    <w:p w14:paraId="6871F765" w14:textId="77777777" w:rsidR="00247A48" w:rsidRPr="00B41D57" w:rsidRDefault="00247A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B41D57" w:rsidRDefault="00CD0A05" w:rsidP="00633CD6">
      <w:pPr>
        <w:pStyle w:val="Style1"/>
        <w:jc w:val="both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5A459D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rPr>
          <w:u w:val="single"/>
        </w:rPr>
        <w:t>Březost a laktace</w:t>
      </w:r>
      <w:r w:rsidRPr="00CB04F8">
        <w:t>:</w:t>
      </w:r>
    </w:p>
    <w:p w14:paraId="122D6EE1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Lze použít během březosti a laktace.</w:t>
      </w:r>
    </w:p>
    <w:p w14:paraId="74037538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</w:p>
    <w:p w14:paraId="43B4CA1F" w14:textId="77777777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rPr>
          <w:u w:val="single"/>
        </w:rPr>
        <w:t>Plodnost</w:t>
      </w:r>
      <w:r w:rsidRPr="00CB04F8">
        <w:t>:</w:t>
      </w:r>
    </w:p>
    <w:p w14:paraId="09BAECF1" w14:textId="4E289DF6" w:rsidR="00CB04F8" w:rsidRPr="00CB04F8" w:rsidRDefault="00CB04F8" w:rsidP="00633CD6">
      <w:pPr>
        <w:tabs>
          <w:tab w:val="clear" w:pos="567"/>
        </w:tabs>
        <w:spacing w:line="240" w:lineRule="auto"/>
        <w:jc w:val="both"/>
      </w:pPr>
      <w:r w:rsidRPr="00CB04F8">
        <w:t>Lze použít u chovných zvířat.</w:t>
      </w:r>
    </w:p>
    <w:p w14:paraId="45A1699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B41D57" w:rsidRDefault="00CD0A05" w:rsidP="00633CD6">
      <w:pPr>
        <w:pStyle w:val="Style1"/>
        <w:jc w:val="both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D424F9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Současné použití tohoto veterinárního léčivého přípravku se selamektinem je dobře snášeno. Nebyly pozorovány žádné interakce při podávání doporučené dávky makrocyklického laktonu selamektinu během léčby tímto veterinárním léčivým přípravkem v doporučené dávce. Buďte opatrní v případě současného podání s jinými makrocyklickými laktony, protože na ně neexistují další studie. Rovněž nebyly žádné podobné studie provedeny u chovných zvířat.</w:t>
      </w:r>
    </w:p>
    <w:p w14:paraId="0B86F3A7" w14:textId="77777777" w:rsidR="00C90EDA" w:rsidRPr="00B41D57" w:rsidRDefault="00C90EDA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CD0A05" w:rsidP="00633CD6">
      <w:pPr>
        <w:pStyle w:val="Style1"/>
        <w:jc w:val="both"/>
      </w:pPr>
      <w:r w:rsidRPr="00B41D57">
        <w:t>3.9</w:t>
      </w:r>
      <w:r w:rsidRPr="00B41D57">
        <w:tab/>
        <w:t>Cesty podání a dávkování</w:t>
      </w:r>
    </w:p>
    <w:p w14:paraId="0807314D" w14:textId="77777777" w:rsidR="00175D17" w:rsidRDefault="00175D17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26301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Perorální podání.</w:t>
      </w:r>
    </w:p>
    <w:p w14:paraId="3D3CDD5A" w14:textId="67C52F9A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bookmarkStart w:id="8" w:name="_Hlk152242613"/>
      <w:r w:rsidRPr="00175D17">
        <w:t>Poddávkování by mohlo vést k neúčinnému po</w:t>
      </w:r>
      <w:r w:rsidR="000F46AC">
        <w:t>užití</w:t>
      </w:r>
      <w:r w:rsidRPr="00175D17">
        <w:t xml:space="preserve"> a mohlo by podpořit rozvoj rezistence. </w:t>
      </w:r>
    </w:p>
    <w:bookmarkEnd w:id="8"/>
    <w:p w14:paraId="6304A42E" w14:textId="1852AB6C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K zajištění správného dávkování </w:t>
      </w:r>
      <w:r w:rsidR="009A32B7">
        <w:t>je třeba co nejpřesněji stanovit živou</w:t>
      </w:r>
      <w:r w:rsidRPr="00175D17">
        <w:t xml:space="preserve"> hmotnost.</w:t>
      </w:r>
    </w:p>
    <w:p w14:paraId="441B546C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678299A9" w14:textId="368704EF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Minimální doporučená dávka: 0,5 mg milbemycinoximu a 5 mg </w:t>
      </w:r>
      <w:proofErr w:type="spellStart"/>
      <w:r w:rsidRPr="00175D17">
        <w:t>prazikvantelu</w:t>
      </w:r>
      <w:proofErr w:type="spellEnd"/>
      <w:r w:rsidR="009A32B7">
        <w:t>/</w:t>
      </w:r>
      <w:r w:rsidRPr="00175D17">
        <w:t>kg živé hmotnosti jednorázově.</w:t>
      </w:r>
    </w:p>
    <w:p w14:paraId="184DCDDA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Tento veterinární léčivý přípravek se podává s krmivem nebo po krmení.</w:t>
      </w:r>
    </w:p>
    <w:p w14:paraId="7BDED56B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>V závislosti na živé hmotnosti psa je praktické následující dávkování:</w:t>
      </w:r>
    </w:p>
    <w:p w14:paraId="2EAE770A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2623"/>
      </w:tblGrid>
      <w:tr w:rsidR="00175D17" w:rsidRPr="00175D17" w14:paraId="0EAF5934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7633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Živá hmotnost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6BE0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  <w:rPr>
                <w:b/>
              </w:rPr>
            </w:pPr>
            <w:r w:rsidRPr="00175D17">
              <w:rPr>
                <w:b/>
              </w:rPr>
              <w:t>Počet tablet</w:t>
            </w:r>
          </w:p>
        </w:tc>
      </w:tr>
      <w:tr w:rsidR="00175D17" w:rsidRPr="00175D17" w14:paraId="64884F4D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D7C9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0,5–1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2730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½ tablety</w:t>
            </w:r>
          </w:p>
        </w:tc>
      </w:tr>
      <w:tr w:rsidR="00175D17" w:rsidRPr="00175D17" w14:paraId="155366B7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2845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&gt; 1–5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BD1B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1 tableta</w:t>
            </w:r>
          </w:p>
        </w:tc>
      </w:tr>
      <w:tr w:rsidR="00175D17" w:rsidRPr="00175D17" w14:paraId="052FB8C6" w14:textId="77777777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CE8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&gt; 5–10 kg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FA37C" w14:textId="77777777" w:rsidR="00175D17" w:rsidRPr="00175D17" w:rsidRDefault="00175D17" w:rsidP="001830CB">
            <w:pPr>
              <w:tabs>
                <w:tab w:val="clear" w:pos="567"/>
              </w:tabs>
              <w:spacing w:line="240" w:lineRule="auto"/>
              <w:jc w:val="center"/>
            </w:pPr>
            <w:r w:rsidRPr="00175D17">
              <w:t>2 tablety</w:t>
            </w:r>
          </w:p>
        </w:tc>
      </w:tr>
    </w:tbl>
    <w:p w14:paraId="12D0268D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56639F8D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  <w:rPr>
          <w:u w:val="single"/>
        </w:rPr>
      </w:pPr>
      <w:r w:rsidRPr="00175D17">
        <w:t>V případě použití při prevenci srdeční dirofilariózy a je-li současně požadováno ošetření proti tasemnicím, může tento veterinární léčivý přípravek nahradit monovalentní veterinární léčivý přípravek pro prevenci srdeční dirofilariózy.</w:t>
      </w:r>
    </w:p>
    <w:p w14:paraId="46ECC421" w14:textId="77777777" w:rsidR="00175D17" w:rsidRPr="00175D17" w:rsidRDefault="00175D17" w:rsidP="00633CD6">
      <w:pPr>
        <w:tabs>
          <w:tab w:val="clear" w:pos="567"/>
        </w:tabs>
        <w:spacing w:line="240" w:lineRule="auto"/>
        <w:jc w:val="both"/>
      </w:pPr>
    </w:p>
    <w:p w14:paraId="67C0F5E2" w14:textId="74D50F3A" w:rsidR="004562A0" w:rsidRDefault="00175D17" w:rsidP="00633CD6">
      <w:pPr>
        <w:tabs>
          <w:tab w:val="clear" w:pos="567"/>
        </w:tabs>
        <w:spacing w:line="240" w:lineRule="auto"/>
        <w:jc w:val="both"/>
      </w:pPr>
      <w:r w:rsidRPr="00175D17">
        <w:t xml:space="preserve">Při léčbě infekce </w:t>
      </w:r>
      <w:proofErr w:type="spellStart"/>
      <w:r w:rsidRPr="00175D17">
        <w:rPr>
          <w:i/>
        </w:rPr>
        <w:t>Angiostrongylus</w:t>
      </w:r>
      <w:proofErr w:type="spellEnd"/>
      <w:r w:rsidRPr="00175D17">
        <w:rPr>
          <w:i/>
        </w:rPr>
        <w:t xml:space="preserve"> </w:t>
      </w:r>
      <w:proofErr w:type="spellStart"/>
      <w:r w:rsidRPr="00175D17">
        <w:rPr>
          <w:i/>
        </w:rPr>
        <w:t>vasorum</w:t>
      </w:r>
      <w:proofErr w:type="spellEnd"/>
      <w:r w:rsidRPr="00175D17">
        <w:t xml:space="preserve"> by měl být milbemycinoxim podán čtyřikrát v týdenních intervalech. Tam, kde je indikována souběžná léčba proti tasemnicím, </w:t>
      </w:r>
      <w:r w:rsidR="009A32B7">
        <w:t xml:space="preserve">se </w:t>
      </w:r>
      <w:r w:rsidRPr="00175D17">
        <w:t>doporučuje léčit jednou tímto veterinárním léčivým přípravkem a dále pokračovat jednou týdně v léčbě monovalentním veterinárním léčivým přípravkem obsahujícím samotný milbemycinoxim po zbývající tři podání.</w:t>
      </w:r>
    </w:p>
    <w:p w14:paraId="248BDAFF" w14:textId="77777777" w:rsidR="004562A0" w:rsidRDefault="004562A0" w:rsidP="00633CD6">
      <w:pPr>
        <w:tabs>
          <w:tab w:val="clear" w:pos="567"/>
        </w:tabs>
        <w:spacing w:line="240" w:lineRule="auto"/>
        <w:jc w:val="both"/>
      </w:pPr>
    </w:p>
    <w:p w14:paraId="2ADB9B7D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  <w:r w:rsidRPr="004562A0">
        <w:t xml:space="preserve">Podávání tohoto veterinárního léčivého přípravku každý čtvrtý týden v endemických oblastech bude působit preventivně na snížení míry infekce a zátěže nezralými stádii parazitů (L5) a dospělci </w:t>
      </w:r>
      <w:proofErr w:type="spellStart"/>
      <w:r w:rsidRPr="004562A0">
        <w:rPr>
          <w:i/>
        </w:rPr>
        <w:t>Angiostrongylus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vasorum</w:t>
      </w:r>
      <w:proofErr w:type="spellEnd"/>
      <w:r w:rsidRPr="004562A0">
        <w:t xml:space="preserve"> tam, kde je indikovaná současná léčba proti tasemnicím.</w:t>
      </w:r>
    </w:p>
    <w:p w14:paraId="45E8DC15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</w:p>
    <w:p w14:paraId="114FEB06" w14:textId="77777777" w:rsidR="004562A0" w:rsidRPr="004562A0" w:rsidRDefault="004562A0" w:rsidP="00633CD6">
      <w:pPr>
        <w:tabs>
          <w:tab w:val="clear" w:pos="567"/>
        </w:tabs>
        <w:spacing w:line="240" w:lineRule="auto"/>
        <w:jc w:val="both"/>
      </w:pPr>
      <w:r w:rsidRPr="004562A0">
        <w:t xml:space="preserve">Při léčbě infekce způsobené </w:t>
      </w:r>
      <w:proofErr w:type="spellStart"/>
      <w:r w:rsidRPr="004562A0">
        <w:rPr>
          <w:i/>
        </w:rPr>
        <w:t>Thelazia</w:t>
      </w:r>
      <w:proofErr w:type="spellEnd"/>
      <w:r w:rsidRPr="004562A0">
        <w:rPr>
          <w:i/>
        </w:rPr>
        <w:t xml:space="preserve"> </w:t>
      </w:r>
      <w:proofErr w:type="spellStart"/>
      <w:r w:rsidRPr="004562A0">
        <w:rPr>
          <w:i/>
        </w:rPr>
        <w:t>callipaeda</w:t>
      </w:r>
      <w:proofErr w:type="spellEnd"/>
      <w:r w:rsidRPr="004562A0">
        <w:t xml:space="preserve"> by měl být podán milbemycinoxim léčebně dvakrát v odstupu sedmi dní. Tam, kde je indikována souběžná léčba proti tasemnicím, může tento veterinární léčivý přípravek nahradit monovalentní veterinární léčivý přípravek obsahující pouze milbemycinoxim. </w:t>
      </w:r>
    </w:p>
    <w:p w14:paraId="13504C24" w14:textId="77777777" w:rsidR="00247A48" w:rsidRPr="00B41D57" w:rsidRDefault="00247A48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B41D57" w:rsidRDefault="00CD0A05" w:rsidP="00633CD6">
      <w:pPr>
        <w:pStyle w:val="Style1"/>
        <w:jc w:val="both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A2E07E" w14:textId="35011B27" w:rsidR="004562A0" w:rsidRPr="004562A0" w:rsidRDefault="004562A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562A0">
        <w:rPr>
          <w:szCs w:val="22"/>
        </w:rPr>
        <w:t>Žádné jiné příznaky než pozorované po podání doporučené dávky nebyly pozorovány (viz bod 3.6 „Nežádoucí účinky“).</w:t>
      </w:r>
    </w:p>
    <w:p w14:paraId="273D4C5A" w14:textId="77777777" w:rsidR="004562A0" w:rsidRPr="00B41D57" w:rsidRDefault="004562A0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B41D57" w:rsidRDefault="00CD0A05" w:rsidP="00633CD6">
      <w:pPr>
        <w:pStyle w:val="Style1"/>
        <w:jc w:val="both"/>
      </w:pPr>
      <w:r w:rsidRPr="00B41D57">
        <w:lastRenderedPageBreak/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24853D" w14:textId="524F1492" w:rsidR="009A6509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B41D57" w:rsidRDefault="00CD0A05" w:rsidP="00633CD6">
      <w:pPr>
        <w:pStyle w:val="Style1"/>
        <w:jc w:val="both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1E56DD" w14:textId="0BFAF2A6" w:rsidR="00C114FF" w:rsidRPr="00B41D57" w:rsidRDefault="00CD0A05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B55BD" w14:textId="77777777" w:rsidR="00FC02F3" w:rsidRPr="00B41D57" w:rsidRDefault="00FC02F3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5DAFE32A" w:rsidR="00C114FF" w:rsidRPr="00B41D57" w:rsidRDefault="00CD0A05" w:rsidP="00633CD6">
      <w:pPr>
        <w:pStyle w:val="Style1"/>
        <w:jc w:val="both"/>
      </w:pPr>
      <w:r w:rsidRPr="00B41D57">
        <w:t>4.</w:t>
      </w:r>
      <w:r w:rsidRPr="00B41D57">
        <w:tab/>
        <w:t>FARMAKOLOGICKÉ</w:t>
      </w:r>
      <w:r w:rsidR="004562A0">
        <w:t xml:space="preserve"> </w:t>
      </w:r>
      <w:r w:rsidRPr="00B41D57">
        <w:t>INFORMACE</w:t>
      </w:r>
    </w:p>
    <w:p w14:paraId="2C2A4C50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C46BA4E" w14:textId="77777777" w:rsidR="004562A0" w:rsidRPr="004562A0" w:rsidRDefault="00CD0A05" w:rsidP="00633CD6">
      <w:pPr>
        <w:pStyle w:val="Style1"/>
        <w:jc w:val="both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4562A0" w:rsidRPr="004562A0">
        <w:rPr>
          <w:b w:val="0"/>
        </w:rPr>
        <w:t xml:space="preserve">QP54AB51 </w:t>
      </w:r>
    </w:p>
    <w:p w14:paraId="5C965196" w14:textId="50661A60" w:rsidR="00C114FF" w:rsidRPr="00B41D57" w:rsidRDefault="00C114FF" w:rsidP="00633CD6">
      <w:pPr>
        <w:pStyle w:val="Style1"/>
        <w:jc w:val="both"/>
      </w:pPr>
    </w:p>
    <w:p w14:paraId="0DC4C65B" w14:textId="649FFABD" w:rsidR="00C114FF" w:rsidRDefault="00CD0A05" w:rsidP="00633CD6">
      <w:pPr>
        <w:pStyle w:val="Style1"/>
        <w:jc w:val="both"/>
      </w:pPr>
      <w:r w:rsidRPr="00B41D57">
        <w:t>4.2</w:t>
      </w:r>
      <w:r w:rsidRPr="00B41D57">
        <w:tab/>
        <w:t>Farmakodynamika</w:t>
      </w:r>
    </w:p>
    <w:p w14:paraId="3D8FEF35" w14:textId="77777777" w:rsidR="004562A0" w:rsidRDefault="004562A0" w:rsidP="00633CD6">
      <w:pPr>
        <w:pStyle w:val="Style1"/>
        <w:jc w:val="both"/>
      </w:pPr>
    </w:p>
    <w:p w14:paraId="05EEFF0C" w14:textId="77777777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r w:rsidRPr="004562A0">
        <w:rPr>
          <w:b w:val="0"/>
          <w:bCs/>
        </w:rPr>
        <w:t xml:space="preserve">Milbemycinoxim patří do skupiny </w:t>
      </w:r>
      <w:proofErr w:type="spellStart"/>
      <w:r w:rsidRPr="004562A0">
        <w:rPr>
          <w:b w:val="0"/>
          <w:bCs/>
        </w:rPr>
        <w:t>makrocyklických</w:t>
      </w:r>
      <w:proofErr w:type="spellEnd"/>
      <w:r w:rsidRPr="004562A0">
        <w:rPr>
          <w:b w:val="0"/>
          <w:bCs/>
        </w:rPr>
        <w:t xml:space="preserve"> laktonů, izolovaný z fermentace </w:t>
      </w:r>
      <w:proofErr w:type="spellStart"/>
      <w:r w:rsidRPr="004562A0">
        <w:rPr>
          <w:b w:val="0"/>
          <w:bCs/>
          <w:i/>
        </w:rPr>
        <w:t>Streptomyces</w:t>
      </w:r>
      <w:proofErr w:type="spellEnd"/>
      <w:r w:rsidRPr="004562A0">
        <w:rPr>
          <w:b w:val="0"/>
          <w:bCs/>
          <w:i/>
        </w:rPr>
        <w:t xml:space="preserve"> </w:t>
      </w:r>
      <w:proofErr w:type="spellStart"/>
      <w:r w:rsidRPr="004562A0">
        <w:rPr>
          <w:b w:val="0"/>
          <w:bCs/>
          <w:i/>
        </w:rPr>
        <w:t>hygroscopicus</w:t>
      </w:r>
      <w:proofErr w:type="spellEnd"/>
      <w:r w:rsidRPr="004562A0">
        <w:rPr>
          <w:b w:val="0"/>
          <w:bCs/>
          <w:i/>
        </w:rPr>
        <w:t xml:space="preserve"> </w:t>
      </w:r>
      <w:r w:rsidRPr="004562A0">
        <w:rPr>
          <w:b w:val="0"/>
          <w:bCs/>
        </w:rPr>
        <w:t xml:space="preserve">var. </w:t>
      </w:r>
      <w:proofErr w:type="spellStart"/>
      <w:r w:rsidRPr="004562A0">
        <w:rPr>
          <w:b w:val="0"/>
          <w:bCs/>
          <w:i/>
        </w:rPr>
        <w:t>aureolacrimosus</w:t>
      </w:r>
      <w:proofErr w:type="spellEnd"/>
      <w:r w:rsidRPr="004562A0">
        <w:rPr>
          <w:b w:val="0"/>
          <w:bCs/>
        </w:rPr>
        <w:t xml:space="preserve">. Je účinný proti roztočům, proti larválním stadiím a dospělcům hlístic a rovněž proti larvám </w:t>
      </w:r>
      <w:proofErr w:type="spellStart"/>
      <w:r w:rsidRPr="004562A0">
        <w:rPr>
          <w:b w:val="0"/>
          <w:bCs/>
          <w:i/>
        </w:rPr>
        <w:t>Dirofilaria</w:t>
      </w:r>
      <w:proofErr w:type="spellEnd"/>
      <w:r w:rsidRPr="004562A0">
        <w:rPr>
          <w:b w:val="0"/>
          <w:bCs/>
          <w:i/>
        </w:rPr>
        <w:t xml:space="preserve"> </w:t>
      </w:r>
      <w:proofErr w:type="spellStart"/>
      <w:r w:rsidRPr="004562A0">
        <w:rPr>
          <w:b w:val="0"/>
          <w:bCs/>
          <w:i/>
        </w:rPr>
        <w:t>immitis</w:t>
      </w:r>
      <w:proofErr w:type="spellEnd"/>
      <w:r w:rsidRPr="004562A0">
        <w:rPr>
          <w:b w:val="0"/>
          <w:bCs/>
        </w:rPr>
        <w:t>.</w:t>
      </w:r>
    </w:p>
    <w:p w14:paraId="3CBB2815" w14:textId="067B6F7A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r w:rsidRPr="004562A0">
        <w:rPr>
          <w:b w:val="0"/>
          <w:bCs/>
        </w:rPr>
        <w:t xml:space="preserve">Aktivita milbemycinu vychází z jeho účinku na </w:t>
      </w:r>
      <w:proofErr w:type="spellStart"/>
      <w:r w:rsidRPr="004562A0">
        <w:rPr>
          <w:b w:val="0"/>
          <w:bCs/>
        </w:rPr>
        <w:t>neurotransmise</w:t>
      </w:r>
      <w:proofErr w:type="spellEnd"/>
      <w:r w:rsidRPr="004562A0">
        <w:rPr>
          <w:b w:val="0"/>
          <w:bCs/>
        </w:rPr>
        <w:t xml:space="preserve"> bezobratlých. </w:t>
      </w:r>
      <w:proofErr w:type="spellStart"/>
      <w:r w:rsidRPr="004562A0">
        <w:rPr>
          <w:b w:val="0"/>
          <w:bCs/>
        </w:rPr>
        <w:t>Milbemycinoxim</w:t>
      </w:r>
      <w:proofErr w:type="spellEnd"/>
      <w:r w:rsidRPr="004562A0">
        <w:rPr>
          <w:b w:val="0"/>
          <w:bCs/>
        </w:rPr>
        <w:t xml:space="preserve">, podobně jako </w:t>
      </w:r>
      <w:proofErr w:type="spellStart"/>
      <w:r w:rsidRPr="004562A0">
        <w:rPr>
          <w:b w:val="0"/>
          <w:bCs/>
        </w:rPr>
        <w:t>averme</w:t>
      </w:r>
      <w:r w:rsidR="000A226F">
        <w:rPr>
          <w:b w:val="0"/>
          <w:bCs/>
        </w:rPr>
        <w:t>k</w:t>
      </w:r>
      <w:r w:rsidRPr="004562A0">
        <w:rPr>
          <w:b w:val="0"/>
          <w:bCs/>
        </w:rPr>
        <w:t>tiny</w:t>
      </w:r>
      <w:proofErr w:type="spellEnd"/>
      <w:r w:rsidRPr="004562A0">
        <w:rPr>
          <w:b w:val="0"/>
          <w:bCs/>
        </w:rPr>
        <w:t xml:space="preserve"> a jiné </w:t>
      </w:r>
      <w:proofErr w:type="spellStart"/>
      <w:r w:rsidRPr="004562A0">
        <w:rPr>
          <w:b w:val="0"/>
          <w:bCs/>
        </w:rPr>
        <w:t>milbemyciny</w:t>
      </w:r>
      <w:proofErr w:type="spellEnd"/>
      <w:r w:rsidRPr="004562A0">
        <w:rPr>
          <w:b w:val="0"/>
          <w:bCs/>
        </w:rPr>
        <w:t>, zvyšuje permeabilitu membrán hlístic a hmyzu pro chloridové ionty prostřednictvím chloridových kanálů řízených glutamátem (podobně jak jsou u obratlovců receptory na GABA</w:t>
      </w:r>
      <w:r w:rsidRPr="004562A0">
        <w:rPr>
          <w:b w:val="0"/>
          <w:bCs/>
          <w:vertAlign w:val="subscript"/>
        </w:rPr>
        <w:t xml:space="preserve">A </w:t>
      </w:r>
      <w:r w:rsidRPr="004562A0">
        <w:rPr>
          <w:b w:val="0"/>
          <w:bCs/>
        </w:rPr>
        <w:t>a glycin). To vede k hyperpolarizaci neuromuskulární membrány, slabé paralýze a k úhynu parazita.</w:t>
      </w:r>
    </w:p>
    <w:p w14:paraId="72FD745C" w14:textId="77777777" w:rsidR="004562A0" w:rsidRPr="004562A0" w:rsidRDefault="004562A0" w:rsidP="00633CD6">
      <w:pPr>
        <w:pStyle w:val="Style1"/>
        <w:jc w:val="both"/>
        <w:rPr>
          <w:b w:val="0"/>
          <w:bCs/>
        </w:rPr>
      </w:pPr>
    </w:p>
    <w:p w14:paraId="0065D93F" w14:textId="192C8708" w:rsidR="004562A0" w:rsidRPr="004562A0" w:rsidRDefault="004562A0" w:rsidP="00633CD6">
      <w:pPr>
        <w:pStyle w:val="Style1"/>
        <w:ind w:left="0" w:firstLine="0"/>
        <w:jc w:val="both"/>
        <w:rPr>
          <w:b w:val="0"/>
          <w:bCs/>
        </w:rPr>
      </w:pPr>
      <w:proofErr w:type="spellStart"/>
      <w:r w:rsidRPr="004562A0">
        <w:rPr>
          <w:b w:val="0"/>
          <w:bCs/>
        </w:rPr>
        <w:t>Prazikvantel</w:t>
      </w:r>
      <w:proofErr w:type="spellEnd"/>
      <w:r w:rsidRPr="004562A0">
        <w:rPr>
          <w:b w:val="0"/>
          <w:bCs/>
        </w:rPr>
        <w:t xml:space="preserve"> je </w:t>
      </w:r>
      <w:proofErr w:type="spellStart"/>
      <w:r w:rsidRPr="004562A0">
        <w:rPr>
          <w:b w:val="0"/>
          <w:bCs/>
        </w:rPr>
        <w:t>acylovaný</w:t>
      </w:r>
      <w:proofErr w:type="spellEnd"/>
      <w:r w:rsidRPr="004562A0">
        <w:rPr>
          <w:b w:val="0"/>
          <w:bCs/>
        </w:rPr>
        <w:t xml:space="preserve"> derivát </w:t>
      </w:r>
      <w:proofErr w:type="spellStart"/>
      <w:r w:rsidRPr="004562A0">
        <w:rPr>
          <w:b w:val="0"/>
          <w:bCs/>
        </w:rPr>
        <w:t>pyrazinoisochinolinu</w:t>
      </w:r>
      <w:proofErr w:type="spellEnd"/>
      <w:r w:rsidRPr="004562A0">
        <w:rPr>
          <w:b w:val="0"/>
          <w:bCs/>
        </w:rPr>
        <w:t xml:space="preserve">. Prazikvantel je účinný proti tasemnicím a motolicím. Modifikuje permeabilitu membrán parazitů pro vápník (vtok </w:t>
      </w:r>
      <w:r w:rsidR="000A226F">
        <w:rPr>
          <w:b w:val="0"/>
          <w:bCs/>
        </w:rPr>
        <w:t>vápenatých iontů</w:t>
      </w:r>
      <w:r w:rsidRPr="004562A0">
        <w:rPr>
          <w:b w:val="0"/>
          <w:bCs/>
        </w:rPr>
        <w:t xml:space="preserve">), dále navozuje nerovnováhu membránových struktur, což vede k depolarizaci membrán a k téměř okamžité kontrakci svaloviny (křeče), k rychlé </w:t>
      </w:r>
      <w:proofErr w:type="spellStart"/>
      <w:r w:rsidRPr="004562A0">
        <w:rPr>
          <w:b w:val="0"/>
          <w:bCs/>
        </w:rPr>
        <w:t>vakuolizaci</w:t>
      </w:r>
      <w:proofErr w:type="spellEnd"/>
      <w:r w:rsidRPr="004562A0">
        <w:rPr>
          <w:b w:val="0"/>
          <w:bCs/>
        </w:rPr>
        <w:t xml:space="preserve"> </w:t>
      </w:r>
      <w:proofErr w:type="spellStart"/>
      <w:r w:rsidRPr="004562A0">
        <w:rPr>
          <w:b w:val="0"/>
          <w:bCs/>
        </w:rPr>
        <w:t>syncyciálního</w:t>
      </w:r>
      <w:proofErr w:type="spellEnd"/>
      <w:r w:rsidRPr="004562A0">
        <w:rPr>
          <w:b w:val="0"/>
          <w:bCs/>
        </w:rPr>
        <w:t xml:space="preserve"> povrchu a dále k dezintegraci povrchu parazita (puchýřky), což končí snadným vypuzením parazita ze zažívacího ústrojí nebo úhynem parazita. </w:t>
      </w:r>
    </w:p>
    <w:p w14:paraId="50FA42E3" w14:textId="77777777" w:rsidR="00C114FF" w:rsidRPr="00B41D57" w:rsidRDefault="00C114FF" w:rsidP="00633C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3C5A172A" w:rsidR="00C114FF" w:rsidRDefault="00CD0A05" w:rsidP="00633CD6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06AAAA4A" w14:textId="77777777" w:rsidR="00633CD6" w:rsidRPr="00633CD6" w:rsidRDefault="00633CD6" w:rsidP="00633CD6">
      <w:pPr>
        <w:pStyle w:val="Style1"/>
        <w:jc w:val="both"/>
      </w:pPr>
    </w:p>
    <w:p w14:paraId="5C5397BF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>Po perorálním podání prazikvantelu je dosažena u psů rychle maximální koncentrace látky v séru (</w:t>
      </w:r>
      <w:proofErr w:type="spellStart"/>
      <w:r w:rsidRPr="00633CD6">
        <w:rPr>
          <w:b w:val="0"/>
          <w:bCs/>
        </w:rPr>
        <w:t>T</w:t>
      </w:r>
      <w:r w:rsidRPr="00633CD6">
        <w:rPr>
          <w:b w:val="0"/>
          <w:bCs/>
          <w:vertAlign w:val="subscript"/>
        </w:rPr>
        <w:t>max</w:t>
      </w:r>
      <w:proofErr w:type="spellEnd"/>
      <w:r w:rsidRPr="00633CD6">
        <w:rPr>
          <w:b w:val="0"/>
          <w:bCs/>
          <w:vertAlign w:val="subscript"/>
        </w:rPr>
        <w:t xml:space="preserve"> </w:t>
      </w:r>
      <w:r w:rsidRPr="00633CD6">
        <w:rPr>
          <w:b w:val="0"/>
          <w:bCs/>
        </w:rPr>
        <w:t>je přibližně</w:t>
      </w:r>
      <w:r w:rsidRPr="00633CD6">
        <w:rPr>
          <w:b w:val="0"/>
          <w:bCs/>
          <w:vertAlign w:val="subscript"/>
        </w:rPr>
        <w:t xml:space="preserve"> </w:t>
      </w:r>
      <w:r w:rsidRPr="00633CD6">
        <w:rPr>
          <w:b w:val="0"/>
          <w:bCs/>
        </w:rPr>
        <w:t>0,5–4 hodiny) a nastupuje rychlý pokles hladin (t</w:t>
      </w:r>
      <w:r w:rsidRPr="00633CD6">
        <w:rPr>
          <w:b w:val="0"/>
          <w:bCs/>
          <w:vertAlign w:val="subscript"/>
        </w:rPr>
        <w:t xml:space="preserve">½ </w:t>
      </w:r>
      <w:r w:rsidRPr="00633CD6">
        <w:rPr>
          <w:b w:val="0"/>
          <w:bCs/>
        </w:rPr>
        <w:t xml:space="preserve">je přibližně 1,5 hodiny). Dochází k výraznému efektu „prvního průchodu játry“ s velmi rychlou a téměř úplnou biotransformací v játrech, hlavně na </w:t>
      </w:r>
      <w:proofErr w:type="spellStart"/>
      <w:r w:rsidRPr="00633CD6">
        <w:rPr>
          <w:b w:val="0"/>
          <w:bCs/>
        </w:rPr>
        <w:t>monohydroxylované</w:t>
      </w:r>
      <w:proofErr w:type="spellEnd"/>
      <w:r w:rsidRPr="00633CD6">
        <w:rPr>
          <w:b w:val="0"/>
          <w:bCs/>
        </w:rPr>
        <w:t xml:space="preserve"> (ale rovněž </w:t>
      </w:r>
      <w:proofErr w:type="spellStart"/>
      <w:r w:rsidRPr="00633CD6">
        <w:rPr>
          <w:b w:val="0"/>
          <w:bCs/>
        </w:rPr>
        <w:t>bi</w:t>
      </w:r>
      <w:proofErr w:type="spellEnd"/>
      <w:r w:rsidRPr="00633CD6">
        <w:rPr>
          <w:b w:val="0"/>
          <w:bCs/>
        </w:rPr>
        <w:t xml:space="preserve">- a </w:t>
      </w:r>
      <w:proofErr w:type="spellStart"/>
      <w:r w:rsidRPr="00633CD6">
        <w:rPr>
          <w:b w:val="0"/>
          <w:bCs/>
        </w:rPr>
        <w:t>trihydroxcylované</w:t>
      </w:r>
      <w:proofErr w:type="spellEnd"/>
      <w:r w:rsidRPr="00633CD6">
        <w:rPr>
          <w:b w:val="0"/>
          <w:bCs/>
        </w:rPr>
        <w:t xml:space="preserve">) deriváty, které jsou před exkrecí většinou konjugované </w:t>
      </w:r>
      <w:proofErr w:type="spellStart"/>
      <w:r w:rsidRPr="00633CD6">
        <w:rPr>
          <w:b w:val="0"/>
          <w:bCs/>
        </w:rPr>
        <w:t>glukuronidem</w:t>
      </w:r>
      <w:proofErr w:type="spellEnd"/>
      <w:r w:rsidRPr="00633CD6">
        <w:rPr>
          <w:b w:val="0"/>
          <w:bCs/>
        </w:rPr>
        <w:t xml:space="preserve"> nebo sulfátem. Vazba na plazmatické bílkoviny je přibližně 80 %. Exkrece je rychlá a úplná (přibližně 90 % za 2 dny)</w:t>
      </w:r>
      <w:r w:rsidRPr="00633CD6">
        <w:rPr>
          <w:b w:val="0"/>
          <w:bCs/>
        </w:rPr>
        <w:sym w:font="Symbol" w:char="F03B"/>
      </w:r>
      <w:r w:rsidRPr="00633CD6">
        <w:rPr>
          <w:b w:val="0"/>
          <w:bCs/>
        </w:rPr>
        <w:t xml:space="preserve"> hlavní cestou vylučování jsou ledviny. </w:t>
      </w:r>
    </w:p>
    <w:p w14:paraId="0DF16371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  <w:u w:val="single"/>
        </w:rPr>
      </w:pPr>
    </w:p>
    <w:p w14:paraId="00808C7E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>Po perorálním podání milbemycinoximu se dosahuje u psů maximální koncentrace látky v plazmě asi za 2–4 hodiny, a ty se snižují s polovinou doby účinnosti nemetabolizovaného milbemycinoximu 1–4 dny. Biologická dostupnost je přibližně 80 %.</w:t>
      </w:r>
    </w:p>
    <w:p w14:paraId="5E9A7837" w14:textId="77777777" w:rsidR="00633CD6" w:rsidRPr="00633CD6" w:rsidRDefault="00633CD6" w:rsidP="00633CD6">
      <w:pPr>
        <w:pStyle w:val="Style1"/>
        <w:ind w:left="0" w:firstLine="0"/>
        <w:jc w:val="both"/>
        <w:rPr>
          <w:b w:val="0"/>
          <w:bCs/>
        </w:rPr>
      </w:pPr>
      <w:r w:rsidRPr="00633CD6">
        <w:rPr>
          <w:b w:val="0"/>
          <w:bCs/>
        </w:rPr>
        <w:t xml:space="preserve">U potkanů se metabolismus jeví jako úplný, i když pomalý, protože v moči ani stolici nebyl zjištěn nezměněný milbemycinoxim. Hlavní metabolity u potkanů jsou </w:t>
      </w:r>
      <w:proofErr w:type="spellStart"/>
      <w:r w:rsidRPr="00633CD6">
        <w:rPr>
          <w:b w:val="0"/>
          <w:bCs/>
        </w:rPr>
        <w:t>monohydroxylované</w:t>
      </w:r>
      <w:proofErr w:type="spellEnd"/>
      <w:r w:rsidRPr="00633CD6">
        <w:rPr>
          <w:b w:val="0"/>
          <w:bCs/>
        </w:rPr>
        <w:t xml:space="preserve"> deriváty, což se přisuzuje jaterní biotransformaci. Navíc vedle relativně vysokých koncentrací v játrech je určitá koncentrace v tuku, která odráží jeho </w:t>
      </w:r>
      <w:proofErr w:type="spellStart"/>
      <w:r w:rsidRPr="00633CD6">
        <w:rPr>
          <w:b w:val="0"/>
          <w:bCs/>
        </w:rPr>
        <w:t>lipofilitu</w:t>
      </w:r>
      <w:proofErr w:type="spellEnd"/>
      <w:r w:rsidRPr="00633CD6">
        <w:rPr>
          <w:b w:val="0"/>
          <w:bCs/>
        </w:rPr>
        <w:t>.</w:t>
      </w:r>
    </w:p>
    <w:p w14:paraId="44AD207A" w14:textId="77777777" w:rsidR="00633CD6" w:rsidRPr="00B41D57" w:rsidRDefault="00633CD6" w:rsidP="00633CD6">
      <w:pPr>
        <w:pStyle w:val="Style1"/>
        <w:jc w:val="both"/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D0A05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D0A0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448ABC3" w14:textId="4398FE9A" w:rsidR="00C114FF" w:rsidRPr="00B41D57" w:rsidRDefault="00CD0A05" w:rsidP="00953E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D0A05" w:rsidP="00B13B6D">
      <w:pPr>
        <w:pStyle w:val="Style1"/>
      </w:pPr>
      <w:r w:rsidRPr="00B41D57">
        <w:lastRenderedPageBreak/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20DB2CEE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254D86">
        <w:t xml:space="preserve"> 2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D0A0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2E75CC" w14:textId="20BEF82F" w:rsidR="00C114FF" w:rsidRPr="00D95BBB" w:rsidRDefault="00CD0A05" w:rsidP="009E66FE">
      <w:pPr>
        <w:pStyle w:val="Style5"/>
      </w:pPr>
      <w:r w:rsidRPr="00B41D57">
        <w:t>Uchovávejte při teplotě do 25 °C</w:t>
      </w:r>
      <w:r w:rsidRPr="00F345A8">
        <w:t xml:space="preserve">. 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D0A0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658E8B00" w14:textId="77777777" w:rsidR="00254D86" w:rsidRPr="00254D86" w:rsidRDefault="00254D86" w:rsidP="00254D86">
      <w:pPr>
        <w:pStyle w:val="Style1"/>
        <w:ind w:left="0" w:firstLine="0"/>
        <w:rPr>
          <w:b w:val="0"/>
          <w:bCs/>
        </w:rPr>
      </w:pPr>
      <w:r w:rsidRPr="00254D86">
        <w:rPr>
          <w:b w:val="0"/>
          <w:bCs/>
        </w:rPr>
        <w:t xml:space="preserve">Tablety jsou jednotlivě baleny v sáčcích vyrobených z PET/Al/LDPE fólie. Sáčky jsou vloženy do papírové krabičky. </w:t>
      </w:r>
    </w:p>
    <w:p w14:paraId="08F09B3E" w14:textId="77777777" w:rsidR="00254D86" w:rsidRPr="00254D86" w:rsidRDefault="00254D86" w:rsidP="005E66FC">
      <w:pPr>
        <w:pStyle w:val="Style1"/>
        <w:rPr>
          <w:b w:val="0"/>
          <w:bCs/>
        </w:rPr>
      </w:pPr>
    </w:p>
    <w:p w14:paraId="35878782" w14:textId="77777777" w:rsidR="00AC6E19" w:rsidRPr="001830CB" w:rsidRDefault="00254D86" w:rsidP="005E66FC">
      <w:pPr>
        <w:pStyle w:val="Style1"/>
        <w:rPr>
          <w:b w:val="0"/>
          <w:bCs/>
          <w:u w:val="single"/>
        </w:rPr>
      </w:pPr>
      <w:r w:rsidRPr="001830CB">
        <w:rPr>
          <w:b w:val="0"/>
          <w:bCs/>
          <w:u w:val="single"/>
        </w:rPr>
        <w:t xml:space="preserve">Velikosti balení: </w:t>
      </w:r>
    </w:p>
    <w:p w14:paraId="264C1621" w14:textId="5A7E2CBF" w:rsidR="00254D86" w:rsidRDefault="00254D86" w:rsidP="005E66FC">
      <w:pPr>
        <w:pStyle w:val="Style1"/>
        <w:rPr>
          <w:b w:val="0"/>
          <w:bCs/>
        </w:rPr>
      </w:pPr>
      <w:r w:rsidRPr="00254D86">
        <w:rPr>
          <w:b w:val="0"/>
          <w:bCs/>
        </w:rPr>
        <w:t xml:space="preserve">2 tablety </w:t>
      </w:r>
    </w:p>
    <w:p w14:paraId="4FFFC83A" w14:textId="5C450131" w:rsidR="00254D86" w:rsidRDefault="00254D86" w:rsidP="005E66FC">
      <w:pPr>
        <w:pStyle w:val="Style1"/>
        <w:rPr>
          <w:b w:val="0"/>
          <w:bCs/>
        </w:rPr>
      </w:pPr>
      <w:r w:rsidRPr="00254D86">
        <w:rPr>
          <w:b w:val="0"/>
          <w:bCs/>
        </w:rPr>
        <w:t>50 tablet</w:t>
      </w:r>
    </w:p>
    <w:p w14:paraId="65B4004A" w14:textId="77777777" w:rsidR="00254D86" w:rsidRPr="00254D86" w:rsidRDefault="00254D86" w:rsidP="005E66FC">
      <w:pPr>
        <w:pStyle w:val="Style1"/>
        <w:rPr>
          <w:b w:val="0"/>
          <w:bCs/>
        </w:rPr>
      </w:pPr>
    </w:p>
    <w:p w14:paraId="5C703918" w14:textId="6169A641" w:rsidR="00C114FF" w:rsidRPr="00B41D57" w:rsidRDefault="00CD0A0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D0A05" w:rsidP="001F2C99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F2C9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407DE77B" w:rsidR="00FD1E45" w:rsidRPr="00B41D57" w:rsidRDefault="00CD0A05" w:rsidP="001F2C99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1F2C99">
      <w:pPr>
        <w:tabs>
          <w:tab w:val="clear" w:pos="567"/>
        </w:tabs>
        <w:spacing w:line="240" w:lineRule="auto"/>
        <w:rPr>
          <w:szCs w:val="22"/>
        </w:rPr>
      </w:pPr>
    </w:p>
    <w:p w14:paraId="067EAC55" w14:textId="5F8A3D85" w:rsidR="00C114FF" w:rsidRPr="00B41D57" w:rsidRDefault="007D7608" w:rsidP="001F2C99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>Tento v</w:t>
      </w:r>
      <w:r w:rsidR="00CD0A05" w:rsidRPr="00B41D57">
        <w:t>eterinární léčivý přípravek nesmí kontaminovat vodní toky, protože může být nebezpečn</w:t>
      </w:r>
      <w:r w:rsidR="00254D86">
        <w:t xml:space="preserve">ý </w:t>
      </w:r>
      <w:r w:rsidR="00CD0A05" w:rsidRPr="00B41D57">
        <w:t>pro ryby a další vodní organismy.</w:t>
      </w:r>
    </w:p>
    <w:p w14:paraId="44A5EE14" w14:textId="77777777" w:rsidR="00FD1E45" w:rsidRPr="00B41D57" w:rsidRDefault="00FD1E45" w:rsidP="001F2C99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D0A05" w:rsidP="001F2C99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D0A0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28A371D5" w:rsidR="00C114FF" w:rsidRPr="00B41D57" w:rsidRDefault="00254D8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D0A0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9646882" w:rsidR="00C114FF" w:rsidRDefault="001830C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96/058/25-C</w:t>
      </w:r>
    </w:p>
    <w:p w14:paraId="0C0A0CCF" w14:textId="77777777" w:rsidR="001830CB" w:rsidRPr="00B41D57" w:rsidRDefault="001830C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D0A0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0CD90B7C" w:rsidR="00D65777" w:rsidRPr="00B41D57" w:rsidRDefault="001830C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30. 12. 2025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D0A0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43C69D4C" w:rsidR="00423968" w:rsidRPr="00B41D57" w:rsidRDefault="000A226F" w:rsidP="00423968">
      <w:pPr>
        <w:tabs>
          <w:tab w:val="clear" w:pos="567"/>
        </w:tabs>
        <w:spacing w:line="240" w:lineRule="auto"/>
      </w:pPr>
      <w:r>
        <w:t>12/2025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D0A0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1BB042EB" w:rsidR="0078538F" w:rsidRPr="00B41D57" w:rsidRDefault="00CD0A05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73079B63" w14:textId="5403F75A" w:rsidR="0078538F" w:rsidRPr="00B41D57" w:rsidRDefault="0078538F" w:rsidP="0078538F">
      <w:pPr>
        <w:numPr>
          <w:ilvl w:val="12"/>
          <w:numId w:val="0"/>
        </w:numPr>
        <w:rPr>
          <w:szCs w:val="22"/>
        </w:rPr>
      </w:pPr>
    </w:p>
    <w:p w14:paraId="28C35B4C" w14:textId="47FC27C6" w:rsidR="0078538F" w:rsidRDefault="00CD0A05" w:rsidP="005C4E23">
      <w:pPr>
        <w:ind w:right="-1"/>
        <w:rPr>
          <w:i/>
          <w:szCs w:val="22"/>
        </w:rPr>
      </w:pPr>
      <w:bookmarkStart w:id="9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4FE48436" w14:textId="11C202C4" w:rsidR="00F70E84" w:rsidRPr="001830CB" w:rsidRDefault="000A226F" w:rsidP="001830CB">
      <w:pPr>
        <w:spacing w:line="240" w:lineRule="auto"/>
      </w:pPr>
      <w:bookmarkStart w:id="10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9"/>
      <w:bookmarkEnd w:id="10"/>
    </w:p>
    <w:sectPr w:rsidR="00F70E84" w:rsidRPr="001830CB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E281" w14:textId="77777777" w:rsidR="00597F59" w:rsidRDefault="00597F59">
      <w:pPr>
        <w:spacing w:line="240" w:lineRule="auto"/>
      </w:pPr>
      <w:r>
        <w:separator/>
      </w:r>
    </w:p>
  </w:endnote>
  <w:endnote w:type="continuationSeparator" w:id="0">
    <w:p w14:paraId="109272A9" w14:textId="77777777" w:rsidR="00597F59" w:rsidRDefault="00597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421F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6C502" w14:textId="77777777" w:rsidR="00165F25" w:rsidRPr="00E0068C" w:rsidRDefault="00CD0A0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44A50" w14:textId="77777777" w:rsidR="00597F59" w:rsidRDefault="00597F59">
      <w:pPr>
        <w:spacing w:line="240" w:lineRule="auto"/>
      </w:pPr>
      <w:r>
        <w:separator/>
      </w:r>
    </w:p>
  </w:footnote>
  <w:footnote w:type="continuationSeparator" w:id="0">
    <w:p w14:paraId="3D81BBB1" w14:textId="77777777" w:rsidR="00597F59" w:rsidRDefault="00597F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A9EA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060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CE1E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2E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6A21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CAD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226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4C3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7C0B39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A8E0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2A85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4AD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E6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840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CAD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C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407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A926D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A425A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7445B7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5A9F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B637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9ACA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09ED10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5EC0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4C8A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13AEF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C50B15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DA0EE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634B05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1ABB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9EEDC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CBB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E24F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4927A1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A300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73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206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08D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86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29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4F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A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F25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C38D0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009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E8E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A2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7AC2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ACD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0C2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0A5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98A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25CF8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25CC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12AC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BE68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04F2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8A20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984AA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80E501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BD0962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F12F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E946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26D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20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8E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AA1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67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127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C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06EDC4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32019F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C8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432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09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0C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87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C6F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FEB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73AB3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B48F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B0AF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ED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A8D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AAD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88C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0C1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AC8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AF2F42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347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3C3E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441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D8D2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CCA1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969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D0C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236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0464F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AC02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D889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BEA15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C02F56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DB48E9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3CCCE0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2060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65CDE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7D0CF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6F0C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3668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C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8BE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264C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296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82D1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663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B48855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77C01C4" w:tentative="1">
      <w:start w:val="1"/>
      <w:numFmt w:val="lowerLetter"/>
      <w:lvlText w:val="%2."/>
      <w:lvlJc w:val="left"/>
      <w:pPr>
        <w:ind w:left="1440" w:hanging="360"/>
      </w:pPr>
    </w:lvl>
    <w:lvl w:ilvl="2" w:tplc="18C217CA" w:tentative="1">
      <w:start w:val="1"/>
      <w:numFmt w:val="lowerRoman"/>
      <w:lvlText w:val="%3."/>
      <w:lvlJc w:val="right"/>
      <w:pPr>
        <w:ind w:left="2160" w:hanging="180"/>
      </w:pPr>
    </w:lvl>
    <w:lvl w:ilvl="3" w:tplc="FC34ED0C" w:tentative="1">
      <w:start w:val="1"/>
      <w:numFmt w:val="decimal"/>
      <w:lvlText w:val="%4."/>
      <w:lvlJc w:val="left"/>
      <w:pPr>
        <w:ind w:left="2880" w:hanging="360"/>
      </w:pPr>
    </w:lvl>
    <w:lvl w:ilvl="4" w:tplc="74623E76" w:tentative="1">
      <w:start w:val="1"/>
      <w:numFmt w:val="lowerLetter"/>
      <w:lvlText w:val="%5."/>
      <w:lvlJc w:val="left"/>
      <w:pPr>
        <w:ind w:left="3600" w:hanging="360"/>
      </w:pPr>
    </w:lvl>
    <w:lvl w:ilvl="5" w:tplc="9CA60388" w:tentative="1">
      <w:start w:val="1"/>
      <w:numFmt w:val="lowerRoman"/>
      <w:lvlText w:val="%6."/>
      <w:lvlJc w:val="right"/>
      <w:pPr>
        <w:ind w:left="4320" w:hanging="180"/>
      </w:pPr>
    </w:lvl>
    <w:lvl w:ilvl="6" w:tplc="BB7047EE" w:tentative="1">
      <w:start w:val="1"/>
      <w:numFmt w:val="decimal"/>
      <w:lvlText w:val="%7."/>
      <w:lvlJc w:val="left"/>
      <w:pPr>
        <w:ind w:left="5040" w:hanging="360"/>
      </w:pPr>
    </w:lvl>
    <w:lvl w:ilvl="7" w:tplc="CD26A6F6" w:tentative="1">
      <w:start w:val="1"/>
      <w:numFmt w:val="lowerLetter"/>
      <w:lvlText w:val="%8."/>
      <w:lvlJc w:val="left"/>
      <w:pPr>
        <w:ind w:left="5760" w:hanging="360"/>
      </w:pPr>
    </w:lvl>
    <w:lvl w:ilvl="8" w:tplc="99B4F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69EA2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0EE27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DC09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E9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E8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40D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1A7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8E6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0C2F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9A648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66C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0AF3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87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2694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160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886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01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C2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71070D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C48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F42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2F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00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EA7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85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EA2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72E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6624076">
      <w:start w:val="1"/>
      <w:numFmt w:val="decimal"/>
      <w:lvlText w:val="%1."/>
      <w:lvlJc w:val="left"/>
      <w:pPr>
        <w:ind w:left="720" w:hanging="360"/>
      </w:pPr>
    </w:lvl>
    <w:lvl w:ilvl="1" w:tplc="46ACCC4E" w:tentative="1">
      <w:start w:val="1"/>
      <w:numFmt w:val="lowerLetter"/>
      <w:lvlText w:val="%2."/>
      <w:lvlJc w:val="left"/>
      <w:pPr>
        <w:ind w:left="1440" w:hanging="360"/>
      </w:pPr>
    </w:lvl>
    <w:lvl w:ilvl="2" w:tplc="5680DA04" w:tentative="1">
      <w:start w:val="1"/>
      <w:numFmt w:val="lowerRoman"/>
      <w:lvlText w:val="%3."/>
      <w:lvlJc w:val="right"/>
      <w:pPr>
        <w:ind w:left="2160" w:hanging="180"/>
      </w:pPr>
    </w:lvl>
    <w:lvl w:ilvl="3" w:tplc="50B233CC" w:tentative="1">
      <w:start w:val="1"/>
      <w:numFmt w:val="decimal"/>
      <w:lvlText w:val="%4."/>
      <w:lvlJc w:val="left"/>
      <w:pPr>
        <w:ind w:left="2880" w:hanging="360"/>
      </w:pPr>
    </w:lvl>
    <w:lvl w:ilvl="4" w:tplc="978C4960" w:tentative="1">
      <w:start w:val="1"/>
      <w:numFmt w:val="lowerLetter"/>
      <w:lvlText w:val="%5."/>
      <w:lvlJc w:val="left"/>
      <w:pPr>
        <w:ind w:left="3600" w:hanging="360"/>
      </w:pPr>
    </w:lvl>
    <w:lvl w:ilvl="5" w:tplc="60620498" w:tentative="1">
      <w:start w:val="1"/>
      <w:numFmt w:val="lowerRoman"/>
      <w:lvlText w:val="%6."/>
      <w:lvlJc w:val="right"/>
      <w:pPr>
        <w:ind w:left="4320" w:hanging="180"/>
      </w:pPr>
    </w:lvl>
    <w:lvl w:ilvl="6" w:tplc="A056762A" w:tentative="1">
      <w:start w:val="1"/>
      <w:numFmt w:val="decimal"/>
      <w:lvlText w:val="%7."/>
      <w:lvlJc w:val="left"/>
      <w:pPr>
        <w:ind w:left="5040" w:hanging="360"/>
      </w:pPr>
    </w:lvl>
    <w:lvl w:ilvl="7" w:tplc="C5606624" w:tentative="1">
      <w:start w:val="1"/>
      <w:numFmt w:val="lowerLetter"/>
      <w:lvlText w:val="%8."/>
      <w:lvlJc w:val="left"/>
      <w:pPr>
        <w:ind w:left="5760" w:hanging="360"/>
      </w:pPr>
    </w:lvl>
    <w:lvl w:ilvl="8" w:tplc="DFD6C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12ECC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E482A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0C9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03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AC7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787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CE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CCE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763D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928365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116993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886648154">
    <w:abstractNumId w:val="33"/>
  </w:num>
  <w:num w:numId="4" w16cid:durableId="849225698">
    <w:abstractNumId w:val="32"/>
  </w:num>
  <w:num w:numId="5" w16cid:durableId="506332655">
    <w:abstractNumId w:val="13"/>
  </w:num>
  <w:num w:numId="6" w16cid:durableId="1355812574">
    <w:abstractNumId w:val="24"/>
  </w:num>
  <w:num w:numId="7" w16cid:durableId="1985888793">
    <w:abstractNumId w:val="19"/>
  </w:num>
  <w:num w:numId="8" w16cid:durableId="357656323">
    <w:abstractNumId w:val="9"/>
  </w:num>
  <w:num w:numId="9" w16cid:durableId="1578049119">
    <w:abstractNumId w:val="30"/>
  </w:num>
  <w:num w:numId="10" w16cid:durableId="1277784882">
    <w:abstractNumId w:val="31"/>
  </w:num>
  <w:num w:numId="11" w16cid:durableId="1075472902">
    <w:abstractNumId w:val="15"/>
  </w:num>
  <w:num w:numId="12" w16cid:durableId="1195004423">
    <w:abstractNumId w:val="14"/>
  </w:num>
  <w:num w:numId="13" w16cid:durableId="1113786245">
    <w:abstractNumId w:val="3"/>
  </w:num>
  <w:num w:numId="14" w16cid:durableId="951518067">
    <w:abstractNumId w:val="29"/>
  </w:num>
  <w:num w:numId="15" w16cid:durableId="1273169598">
    <w:abstractNumId w:val="18"/>
  </w:num>
  <w:num w:numId="16" w16cid:durableId="597835931">
    <w:abstractNumId w:val="34"/>
  </w:num>
  <w:num w:numId="17" w16cid:durableId="1765111561">
    <w:abstractNumId w:val="10"/>
  </w:num>
  <w:num w:numId="18" w16cid:durableId="491868265">
    <w:abstractNumId w:val="1"/>
  </w:num>
  <w:num w:numId="19" w16cid:durableId="556210410">
    <w:abstractNumId w:val="16"/>
  </w:num>
  <w:num w:numId="20" w16cid:durableId="969551557">
    <w:abstractNumId w:val="4"/>
  </w:num>
  <w:num w:numId="21" w16cid:durableId="1945991574">
    <w:abstractNumId w:val="8"/>
  </w:num>
  <w:num w:numId="22" w16cid:durableId="532888058">
    <w:abstractNumId w:val="26"/>
  </w:num>
  <w:num w:numId="23" w16cid:durableId="1352343221">
    <w:abstractNumId w:val="35"/>
  </w:num>
  <w:num w:numId="24" w16cid:durableId="636378319">
    <w:abstractNumId w:val="21"/>
  </w:num>
  <w:num w:numId="25" w16cid:durableId="1069619717">
    <w:abstractNumId w:val="11"/>
  </w:num>
  <w:num w:numId="26" w16cid:durableId="1470516087">
    <w:abstractNumId w:val="12"/>
  </w:num>
  <w:num w:numId="27" w16cid:durableId="903874815">
    <w:abstractNumId w:val="6"/>
  </w:num>
  <w:num w:numId="28" w16cid:durableId="1675910530">
    <w:abstractNumId w:val="7"/>
  </w:num>
  <w:num w:numId="29" w16cid:durableId="451482345">
    <w:abstractNumId w:val="22"/>
  </w:num>
  <w:num w:numId="30" w16cid:durableId="367341951">
    <w:abstractNumId w:val="37"/>
  </w:num>
  <w:num w:numId="31" w16cid:durableId="1819149655">
    <w:abstractNumId w:val="38"/>
  </w:num>
  <w:num w:numId="32" w16cid:durableId="1778134372">
    <w:abstractNumId w:val="20"/>
  </w:num>
  <w:num w:numId="33" w16cid:durableId="1064598395">
    <w:abstractNumId w:val="28"/>
  </w:num>
  <w:num w:numId="34" w16cid:durableId="645164113">
    <w:abstractNumId w:val="23"/>
  </w:num>
  <w:num w:numId="35" w16cid:durableId="1740975607">
    <w:abstractNumId w:val="2"/>
  </w:num>
  <w:num w:numId="36" w16cid:durableId="1321882879">
    <w:abstractNumId w:val="5"/>
  </w:num>
  <w:num w:numId="37" w16cid:durableId="1349135160">
    <w:abstractNumId w:val="25"/>
  </w:num>
  <w:num w:numId="38" w16cid:durableId="463887176">
    <w:abstractNumId w:val="17"/>
  </w:num>
  <w:num w:numId="39" w16cid:durableId="582841188">
    <w:abstractNumId w:val="36"/>
  </w:num>
  <w:num w:numId="40" w16cid:durableId="117892931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1C04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35A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26F"/>
    <w:rsid w:val="000A271B"/>
    <w:rsid w:val="000B7873"/>
    <w:rsid w:val="000C02A1"/>
    <w:rsid w:val="000C1D4F"/>
    <w:rsid w:val="000C1DA8"/>
    <w:rsid w:val="000C3ED7"/>
    <w:rsid w:val="000C55E6"/>
    <w:rsid w:val="000C687A"/>
    <w:rsid w:val="000C6C3F"/>
    <w:rsid w:val="000D67D0"/>
    <w:rsid w:val="000E115E"/>
    <w:rsid w:val="000E195C"/>
    <w:rsid w:val="000E3602"/>
    <w:rsid w:val="000E705A"/>
    <w:rsid w:val="000F38DA"/>
    <w:rsid w:val="000F46AC"/>
    <w:rsid w:val="000F5822"/>
    <w:rsid w:val="000F796B"/>
    <w:rsid w:val="0010031E"/>
    <w:rsid w:val="001012EB"/>
    <w:rsid w:val="001078D1"/>
    <w:rsid w:val="001106EA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5D17"/>
    <w:rsid w:val="001803D2"/>
    <w:rsid w:val="0018228B"/>
    <w:rsid w:val="001830C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96A91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4A3E"/>
    <w:rsid w:val="001C5288"/>
    <w:rsid w:val="001C5B03"/>
    <w:rsid w:val="001C63A7"/>
    <w:rsid w:val="001D4CE4"/>
    <w:rsid w:val="001D6052"/>
    <w:rsid w:val="001D6D96"/>
    <w:rsid w:val="001D73C3"/>
    <w:rsid w:val="001E5621"/>
    <w:rsid w:val="001F1C7E"/>
    <w:rsid w:val="001F2C99"/>
    <w:rsid w:val="001F3239"/>
    <w:rsid w:val="001F3C90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4D86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610E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4D0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6937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013"/>
    <w:rsid w:val="003B093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2A0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220"/>
    <w:rsid w:val="004B1A75"/>
    <w:rsid w:val="004B2344"/>
    <w:rsid w:val="004B5797"/>
    <w:rsid w:val="004B5DDC"/>
    <w:rsid w:val="004B798E"/>
    <w:rsid w:val="004C0568"/>
    <w:rsid w:val="004C2ABD"/>
    <w:rsid w:val="004C5F62"/>
    <w:rsid w:val="004D2538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56FA"/>
    <w:rsid w:val="00536031"/>
    <w:rsid w:val="0054134B"/>
    <w:rsid w:val="00542012"/>
    <w:rsid w:val="00543DF5"/>
    <w:rsid w:val="00545A61"/>
    <w:rsid w:val="005506A7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7F59"/>
    <w:rsid w:val="005A4CBE"/>
    <w:rsid w:val="005A5A1F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3F49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2DDC"/>
    <w:rsid w:val="0063377D"/>
    <w:rsid w:val="00633CD6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B55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30F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3EA2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87F81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61CD"/>
    <w:rsid w:val="007D73FB"/>
    <w:rsid w:val="007D7608"/>
    <w:rsid w:val="007E2F2D"/>
    <w:rsid w:val="007F06FB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3AE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4EFC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7F2"/>
    <w:rsid w:val="00903D0D"/>
    <w:rsid w:val="009048E1"/>
    <w:rsid w:val="0090598C"/>
    <w:rsid w:val="00905CAB"/>
    <w:rsid w:val="009071BB"/>
    <w:rsid w:val="00913885"/>
    <w:rsid w:val="00915ABF"/>
    <w:rsid w:val="00917328"/>
    <w:rsid w:val="00921CAD"/>
    <w:rsid w:val="009311ED"/>
    <w:rsid w:val="00931D41"/>
    <w:rsid w:val="00933D18"/>
    <w:rsid w:val="00942221"/>
    <w:rsid w:val="00950FBB"/>
    <w:rsid w:val="00951118"/>
    <w:rsid w:val="0095122F"/>
    <w:rsid w:val="00953324"/>
    <w:rsid w:val="00953349"/>
    <w:rsid w:val="00953E4C"/>
    <w:rsid w:val="00954E0C"/>
    <w:rsid w:val="0096091B"/>
    <w:rsid w:val="00961156"/>
    <w:rsid w:val="00964F03"/>
    <w:rsid w:val="00966F1F"/>
    <w:rsid w:val="00975676"/>
    <w:rsid w:val="00976467"/>
    <w:rsid w:val="00976D32"/>
    <w:rsid w:val="009844F7"/>
    <w:rsid w:val="00984C2F"/>
    <w:rsid w:val="009938F7"/>
    <w:rsid w:val="00995A7D"/>
    <w:rsid w:val="009A05AA"/>
    <w:rsid w:val="009A2BF4"/>
    <w:rsid w:val="009A2D5A"/>
    <w:rsid w:val="009A32B7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5FA5"/>
    <w:rsid w:val="009D7158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3C59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6E19"/>
    <w:rsid w:val="00AD0710"/>
    <w:rsid w:val="00AD4DB9"/>
    <w:rsid w:val="00AD63C0"/>
    <w:rsid w:val="00AE35B2"/>
    <w:rsid w:val="00AE6AA0"/>
    <w:rsid w:val="00AF406C"/>
    <w:rsid w:val="00AF45ED"/>
    <w:rsid w:val="00AF643B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06AF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1E51"/>
    <w:rsid w:val="00B82330"/>
    <w:rsid w:val="00B82ED4"/>
    <w:rsid w:val="00B8424F"/>
    <w:rsid w:val="00B86896"/>
    <w:rsid w:val="00B875A6"/>
    <w:rsid w:val="00B93E4C"/>
    <w:rsid w:val="00B94A1B"/>
    <w:rsid w:val="00B94B97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D6F80"/>
    <w:rsid w:val="00BE117E"/>
    <w:rsid w:val="00BE3261"/>
    <w:rsid w:val="00BF00EF"/>
    <w:rsid w:val="00BF58FC"/>
    <w:rsid w:val="00C01F77"/>
    <w:rsid w:val="00C01FFC"/>
    <w:rsid w:val="00C05321"/>
    <w:rsid w:val="00C06A36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2FB"/>
    <w:rsid w:val="00C90EDA"/>
    <w:rsid w:val="00C959E7"/>
    <w:rsid w:val="00CA28D8"/>
    <w:rsid w:val="00CB04F8"/>
    <w:rsid w:val="00CC1E65"/>
    <w:rsid w:val="00CC567A"/>
    <w:rsid w:val="00CD0A05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27"/>
    <w:rsid w:val="00DB1C8C"/>
    <w:rsid w:val="00DB28AB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3AB1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884"/>
    <w:rsid w:val="00E14C47"/>
    <w:rsid w:val="00E22698"/>
    <w:rsid w:val="00E25B7C"/>
    <w:rsid w:val="00E3076B"/>
    <w:rsid w:val="00E32681"/>
    <w:rsid w:val="00E33224"/>
    <w:rsid w:val="00E3725B"/>
    <w:rsid w:val="00E434D1"/>
    <w:rsid w:val="00E457DB"/>
    <w:rsid w:val="00E548DE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AA3"/>
    <w:rsid w:val="00E82496"/>
    <w:rsid w:val="00E834CD"/>
    <w:rsid w:val="00E846DC"/>
    <w:rsid w:val="00E8486F"/>
    <w:rsid w:val="00E84E9D"/>
    <w:rsid w:val="00E86CEE"/>
    <w:rsid w:val="00E9093C"/>
    <w:rsid w:val="00E935AF"/>
    <w:rsid w:val="00EA4F57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028F"/>
    <w:rsid w:val="00ED594D"/>
    <w:rsid w:val="00EE36E1"/>
    <w:rsid w:val="00EE6228"/>
    <w:rsid w:val="00EE7807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83F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4B5A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0E84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5F3E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5FAFA-B0E8-4E68-8B44-B3BAFC10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2078</Words>
  <Characters>12266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Vodinský Martin, MVDr.</cp:lastModifiedBy>
  <cp:revision>2</cp:revision>
  <cp:lastPrinted>2022-10-26T09:04:00Z</cp:lastPrinted>
  <dcterms:created xsi:type="dcterms:W3CDTF">2026-03-16T15:39:00Z</dcterms:created>
  <dcterms:modified xsi:type="dcterms:W3CDTF">2026-03-16T15:39:00Z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